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50E4" w14:textId="77777777" w:rsidR="00D131B1" w:rsidRDefault="00977D29">
      <w:pPr>
        <w:rPr>
          <w:sz w:val="2"/>
          <w:szCs w:val="2"/>
        </w:rPr>
      </w:pPr>
      <w:r>
        <w:rPr>
          <w:noProof/>
          <w:lang w:val="fr-FR" w:bidi="fr-FR"/>
        </w:rPr>
        <w:drawing>
          <wp:inline distT="0" distB="0" distL="0" distR="0" wp14:anchorId="0773E820" wp14:editId="049CD3FE">
            <wp:extent cx="1694815" cy="7131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694815" cy="713105"/>
                    </a:xfrm>
                    <a:prstGeom prst="rect">
                      <a:avLst/>
                    </a:prstGeom>
                  </pic:spPr>
                </pic:pic>
              </a:graphicData>
            </a:graphic>
          </wp:inline>
        </w:drawing>
      </w:r>
    </w:p>
    <w:p w14:paraId="50543722" w14:textId="77777777" w:rsidR="00D131B1" w:rsidRPr="00FB1A83" w:rsidRDefault="00977D29">
      <w:pPr>
        <w:pStyle w:val="Picturecaption0"/>
        <w:rPr>
          <w:lang w:val="fr-BE"/>
        </w:rPr>
      </w:pPr>
      <w:r>
        <w:rPr>
          <w:rStyle w:val="Picturecaption"/>
          <w:lang w:val="fr-FR" w:bidi="fr-FR"/>
        </w:rPr>
        <w:t>ENGIE - BU Generation Europe European Maintenance Support</w:t>
      </w:r>
    </w:p>
    <w:p w14:paraId="49D3FA61" w14:textId="77777777" w:rsidR="00D131B1" w:rsidRPr="00FB1A83" w:rsidRDefault="00D131B1">
      <w:pPr>
        <w:spacing w:after="719" w:line="1" w:lineRule="exact"/>
        <w:rPr>
          <w:lang w:val="fr-BE"/>
        </w:rPr>
      </w:pPr>
    </w:p>
    <w:p w14:paraId="64392BB6" w14:textId="77777777" w:rsidR="00D131B1" w:rsidRPr="00FB1A83" w:rsidRDefault="00977D29">
      <w:pPr>
        <w:pStyle w:val="Bodytext20"/>
        <w:rPr>
          <w:lang w:val="fr-BE"/>
        </w:rPr>
      </w:pPr>
      <w:r>
        <w:rPr>
          <w:rStyle w:val="Bodytext2"/>
          <w:b/>
          <w:lang w:val="fr-FR" w:bidi="fr-FR"/>
        </w:rPr>
        <w:t>Réglementations spécifiques en matière de sécurité, de santé</w:t>
      </w:r>
      <w:r>
        <w:rPr>
          <w:rStyle w:val="Bodytext2"/>
          <w:b/>
          <w:lang w:val="fr-FR" w:bidi="fr-FR"/>
        </w:rPr>
        <w:br/>
        <w:t>et d'environnement pour les contractants effectuant des tâches</w:t>
      </w:r>
      <w:r>
        <w:rPr>
          <w:rStyle w:val="Bodytext2"/>
          <w:b/>
          <w:lang w:val="fr-FR" w:bidi="fr-FR"/>
        </w:rPr>
        <w:br/>
        <w:t>sur les sites d'ENGIE et les clients</w:t>
      </w:r>
      <w:r>
        <w:rPr>
          <w:rStyle w:val="Bodytext2"/>
          <w:b/>
          <w:lang w:val="fr-FR" w:bidi="fr-FR"/>
        </w:rPr>
        <w:br/>
        <w:t>externes pour le compte</w:t>
      </w:r>
    </w:p>
    <w:p w14:paraId="004EC21B" w14:textId="77777777" w:rsidR="00D131B1" w:rsidRPr="00FB1A83" w:rsidRDefault="00977D29">
      <w:pPr>
        <w:pStyle w:val="Bodytext20"/>
        <w:spacing w:after="1780"/>
        <w:rPr>
          <w:lang w:val="fr-BE"/>
        </w:rPr>
      </w:pPr>
      <w:r>
        <w:rPr>
          <w:rStyle w:val="Bodytext2"/>
          <w:b/>
          <w:lang w:val="fr-FR" w:bidi="fr-FR"/>
        </w:rPr>
        <w:t>d’EMS (European Maintenance Support)</w:t>
      </w:r>
    </w:p>
    <w:p w14:paraId="6879493E" w14:textId="77777777" w:rsidR="00D131B1" w:rsidRPr="00FB1A83" w:rsidRDefault="00977D29">
      <w:pPr>
        <w:pStyle w:val="Plattetekst"/>
        <w:spacing w:after="520"/>
        <w:rPr>
          <w:lang w:val="fr-BE"/>
        </w:rPr>
      </w:pPr>
      <w:r>
        <w:rPr>
          <w:rStyle w:val="PlattetekstChar"/>
          <w:b/>
          <w:color w:val="365F91"/>
          <w:lang w:val="fr-FR" w:bidi="fr-FR"/>
        </w:rPr>
        <w:t>Table des matières</w:t>
      </w:r>
    </w:p>
    <w:p w14:paraId="3D80DCCF" w14:textId="0876A156" w:rsidR="00FB1A83" w:rsidRDefault="00977D29">
      <w:pPr>
        <w:pStyle w:val="Inhopg1"/>
        <w:tabs>
          <w:tab w:val="right" w:leader="dot" w:pos="10593"/>
        </w:tabs>
        <w:rPr>
          <w:rFonts w:asciiTheme="minorHAnsi" w:eastAsiaTheme="minorEastAsia" w:hAnsiTheme="minorHAnsi" w:cstheme="minorBidi"/>
          <w:noProof/>
          <w:color w:val="auto"/>
          <w:kern w:val="2"/>
          <w:lang/>
          <w14:ligatures w14:val="standardContextual"/>
        </w:rPr>
      </w:pPr>
      <w:r>
        <w:rPr>
          <w:lang w:val="fr-FR" w:bidi="fr-FR"/>
        </w:rPr>
        <w:fldChar w:fldCharType="begin"/>
      </w:r>
      <w:r>
        <w:rPr>
          <w:lang w:val="fr-FR" w:bidi="fr-FR"/>
        </w:rPr>
        <w:instrText xml:space="preserve"> TOC \o "1-5" \h \z </w:instrText>
      </w:r>
      <w:r>
        <w:rPr>
          <w:lang w:val="fr-FR" w:bidi="fr-FR"/>
        </w:rPr>
        <w:fldChar w:fldCharType="separate"/>
      </w:r>
      <w:hyperlink w:anchor="_Toc183438083" w:history="1">
        <w:r w:rsidR="00FB1A83" w:rsidRPr="003B78CF">
          <w:rPr>
            <w:rStyle w:val="Hyperlink"/>
            <w:rFonts w:ascii="Courier New" w:eastAsia="Courier New" w:hAnsi="Courier New" w:cs="Courier New"/>
            <w:noProof/>
            <w:lang w:val="fr-FR" w:bidi="fr-FR"/>
          </w:rPr>
          <w:t xml:space="preserve">0 </w:t>
        </w:r>
        <w:r w:rsidR="00FB1A83" w:rsidRPr="003B78CF">
          <w:rPr>
            <w:rStyle w:val="Hyperlink"/>
            <w:noProof/>
            <w:lang w:val="fr-FR" w:bidi="fr-FR"/>
          </w:rPr>
          <w:t>Objectif</w:t>
        </w:r>
        <w:r w:rsidR="00FB1A83">
          <w:rPr>
            <w:noProof/>
            <w:webHidden/>
          </w:rPr>
          <w:tab/>
        </w:r>
        <w:r w:rsidR="00FB1A83">
          <w:rPr>
            <w:noProof/>
            <w:webHidden/>
          </w:rPr>
          <w:fldChar w:fldCharType="begin"/>
        </w:r>
        <w:r w:rsidR="00FB1A83">
          <w:rPr>
            <w:noProof/>
            <w:webHidden/>
          </w:rPr>
          <w:instrText xml:space="preserve"> PAGEREF _Toc183438083 \h </w:instrText>
        </w:r>
        <w:r w:rsidR="00FB1A83">
          <w:rPr>
            <w:noProof/>
            <w:webHidden/>
          </w:rPr>
        </w:r>
        <w:r w:rsidR="00FB1A83">
          <w:rPr>
            <w:noProof/>
            <w:webHidden/>
          </w:rPr>
          <w:fldChar w:fldCharType="separate"/>
        </w:r>
        <w:r w:rsidR="00FB1A83">
          <w:rPr>
            <w:noProof/>
            <w:webHidden/>
          </w:rPr>
          <w:t>2</w:t>
        </w:r>
        <w:r w:rsidR="00FB1A83">
          <w:rPr>
            <w:noProof/>
            <w:webHidden/>
          </w:rPr>
          <w:fldChar w:fldCharType="end"/>
        </w:r>
      </w:hyperlink>
    </w:p>
    <w:p w14:paraId="13A3D874" w14:textId="56805134" w:rsidR="00FB1A83" w:rsidRPr="00FB1A83" w:rsidRDefault="00FE1CE3">
      <w:pPr>
        <w:pStyle w:val="Inhopg1"/>
        <w:tabs>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84" w:history="1">
        <w:r w:rsidR="00FB1A83" w:rsidRPr="00FB1A83">
          <w:rPr>
            <w:rStyle w:val="Hyperlink"/>
            <w:noProof/>
            <w:sz w:val="22"/>
            <w:szCs w:val="22"/>
            <w:lang w:val="fr-FR" w:bidi="fr-FR"/>
          </w:rPr>
          <w:t>1 Complément au point « 3.3. Devoir d'information du contractant »</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_Toc183438084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2</w:t>
        </w:r>
        <w:r w:rsidR="00FB1A83" w:rsidRPr="00FB1A83">
          <w:rPr>
            <w:noProof/>
            <w:webHidden/>
            <w:sz w:val="22"/>
            <w:szCs w:val="22"/>
          </w:rPr>
          <w:fldChar w:fldCharType="end"/>
        </w:r>
      </w:hyperlink>
    </w:p>
    <w:p w14:paraId="0FB39929" w14:textId="0DF79EF4" w:rsidR="00FB1A83" w:rsidRPr="00FB1A83" w:rsidRDefault="00FE1CE3">
      <w:pPr>
        <w:pStyle w:val="Inhopg1"/>
        <w:tabs>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85" w:history="1">
        <w:r w:rsidR="00FB1A83" w:rsidRPr="00FB1A83">
          <w:rPr>
            <w:rStyle w:val="Hyperlink"/>
            <w:noProof/>
            <w:sz w:val="22"/>
            <w:szCs w:val="22"/>
            <w:lang w:val="fr-FR" w:bidi="fr-FR"/>
          </w:rPr>
          <w:t>2 Complément au point « 3.5. Accès »</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_Toc183438085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2</w:t>
        </w:r>
        <w:r w:rsidR="00FB1A83" w:rsidRPr="00FB1A83">
          <w:rPr>
            <w:noProof/>
            <w:webHidden/>
            <w:sz w:val="22"/>
            <w:szCs w:val="22"/>
          </w:rPr>
          <w:fldChar w:fldCharType="end"/>
        </w:r>
      </w:hyperlink>
    </w:p>
    <w:p w14:paraId="78076427" w14:textId="73D89BB7" w:rsidR="00FB1A83" w:rsidRPr="00FB1A83" w:rsidRDefault="00FE1CE3">
      <w:pPr>
        <w:pStyle w:val="Inhopg1"/>
        <w:tabs>
          <w:tab w:val="left" w:pos="480"/>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86" w:history="1">
        <w:r w:rsidR="00FB1A83" w:rsidRPr="00FB1A83">
          <w:rPr>
            <w:rStyle w:val="Hyperlink"/>
            <w:noProof/>
            <w:sz w:val="22"/>
            <w:szCs w:val="22"/>
          </w:rPr>
          <w:t>3</w:t>
        </w:r>
        <w:r w:rsidR="00FB1A83" w:rsidRPr="00FB1A83">
          <w:rPr>
            <w:rFonts w:asciiTheme="minorHAnsi" w:eastAsiaTheme="minorEastAsia" w:hAnsiTheme="minorHAnsi" w:cstheme="minorBidi"/>
            <w:noProof/>
            <w:color w:val="auto"/>
            <w:kern w:val="2"/>
            <w:sz w:val="22"/>
            <w:szCs w:val="22"/>
            <w:lang/>
            <w14:ligatures w14:val="standardContextual"/>
          </w:rPr>
          <w:tab/>
        </w:r>
        <w:r w:rsidR="00FB1A83" w:rsidRPr="00FB1A83">
          <w:rPr>
            <w:rStyle w:val="Hyperlink"/>
            <w:noProof/>
            <w:sz w:val="22"/>
            <w:szCs w:val="22"/>
            <w:lang w:val="fr-FR" w:bidi="fr-FR"/>
          </w:rPr>
          <w:t>Complément au point « 4.1. Règles générales » (réglementation relative aux équipements de travail)</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_Toc183438086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2</w:t>
        </w:r>
        <w:r w:rsidR="00FB1A83" w:rsidRPr="00FB1A83">
          <w:rPr>
            <w:noProof/>
            <w:webHidden/>
            <w:sz w:val="22"/>
            <w:szCs w:val="22"/>
          </w:rPr>
          <w:fldChar w:fldCharType="end"/>
        </w:r>
      </w:hyperlink>
    </w:p>
    <w:p w14:paraId="4E9A1717" w14:textId="01641CD3" w:rsidR="00FB1A83" w:rsidRPr="00FB1A83" w:rsidRDefault="00FE1CE3">
      <w:pPr>
        <w:pStyle w:val="Inhopg1"/>
        <w:tabs>
          <w:tab w:val="left" w:pos="480"/>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87" w:history="1">
        <w:r w:rsidR="00FB1A83" w:rsidRPr="00FB1A83">
          <w:rPr>
            <w:rStyle w:val="Hyperlink"/>
            <w:noProof/>
            <w:sz w:val="22"/>
            <w:szCs w:val="22"/>
          </w:rPr>
          <w:t>4</w:t>
        </w:r>
        <w:r w:rsidR="00FB1A83" w:rsidRPr="00FB1A83">
          <w:rPr>
            <w:rFonts w:asciiTheme="minorHAnsi" w:eastAsiaTheme="minorEastAsia" w:hAnsiTheme="minorHAnsi" w:cstheme="minorBidi"/>
            <w:noProof/>
            <w:color w:val="auto"/>
            <w:kern w:val="2"/>
            <w:sz w:val="22"/>
            <w:szCs w:val="22"/>
            <w:lang/>
            <w14:ligatures w14:val="standardContextual"/>
          </w:rPr>
          <w:tab/>
        </w:r>
        <w:r w:rsidR="00FB1A83" w:rsidRPr="00FB1A83">
          <w:rPr>
            <w:rStyle w:val="Hyperlink"/>
            <w:noProof/>
            <w:sz w:val="22"/>
            <w:szCs w:val="22"/>
            <w:lang w:val="fr-FR" w:bidi="fr-FR"/>
          </w:rPr>
          <w:t>Complément au point « 4.2. Échafaudage »</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_Toc183438087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3</w:t>
        </w:r>
        <w:r w:rsidR="00FB1A83" w:rsidRPr="00FB1A83">
          <w:rPr>
            <w:noProof/>
            <w:webHidden/>
            <w:sz w:val="22"/>
            <w:szCs w:val="22"/>
          </w:rPr>
          <w:fldChar w:fldCharType="end"/>
        </w:r>
      </w:hyperlink>
    </w:p>
    <w:p w14:paraId="0874AEFE" w14:textId="0336B784" w:rsidR="00FB1A83" w:rsidRPr="00FB1A83" w:rsidRDefault="00FE1CE3">
      <w:pPr>
        <w:pStyle w:val="Inhopg1"/>
        <w:tabs>
          <w:tab w:val="left" w:pos="480"/>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88" w:history="1">
        <w:r w:rsidR="00FB1A83" w:rsidRPr="00FB1A83">
          <w:rPr>
            <w:rStyle w:val="Hyperlink"/>
            <w:noProof/>
            <w:sz w:val="22"/>
            <w:szCs w:val="22"/>
          </w:rPr>
          <w:t>5</w:t>
        </w:r>
        <w:r w:rsidR="00FB1A83" w:rsidRPr="00FB1A83">
          <w:rPr>
            <w:rFonts w:asciiTheme="minorHAnsi" w:eastAsiaTheme="minorEastAsia" w:hAnsiTheme="minorHAnsi" w:cstheme="minorBidi"/>
            <w:noProof/>
            <w:color w:val="auto"/>
            <w:kern w:val="2"/>
            <w:sz w:val="22"/>
            <w:szCs w:val="22"/>
            <w:lang/>
            <w14:ligatures w14:val="standardContextual"/>
          </w:rPr>
          <w:tab/>
        </w:r>
        <w:r w:rsidR="00FB1A83" w:rsidRPr="00FB1A83">
          <w:rPr>
            <w:rStyle w:val="Hyperlink"/>
            <w:noProof/>
            <w:sz w:val="22"/>
            <w:szCs w:val="22"/>
            <w:lang w:val="fr-FR" w:bidi="fr-FR"/>
          </w:rPr>
          <w:t>Complément au « 4.3. Sélection et utilisation des équipements de protection individuelle (EPI) »</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_Toc183438088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3</w:t>
        </w:r>
        <w:r w:rsidR="00FB1A83" w:rsidRPr="00FB1A83">
          <w:rPr>
            <w:noProof/>
            <w:webHidden/>
            <w:sz w:val="22"/>
            <w:szCs w:val="22"/>
          </w:rPr>
          <w:fldChar w:fldCharType="end"/>
        </w:r>
      </w:hyperlink>
    </w:p>
    <w:p w14:paraId="7F69ED62" w14:textId="0CDA7B8D" w:rsidR="00FB1A83" w:rsidRPr="00FB1A83" w:rsidRDefault="00FE1CE3">
      <w:pPr>
        <w:pStyle w:val="Inhopg1"/>
        <w:tabs>
          <w:tab w:val="left" w:pos="720"/>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89" w:history="1">
        <w:r w:rsidR="00FB1A83" w:rsidRPr="00FB1A83">
          <w:rPr>
            <w:rStyle w:val="Hyperlink"/>
            <w:noProof/>
            <w:sz w:val="22"/>
            <w:szCs w:val="22"/>
          </w:rPr>
          <w:t>5.1</w:t>
        </w:r>
        <w:r w:rsidR="00FB1A83" w:rsidRPr="00FB1A83">
          <w:rPr>
            <w:rFonts w:asciiTheme="minorHAnsi" w:eastAsiaTheme="minorEastAsia" w:hAnsiTheme="minorHAnsi" w:cstheme="minorBidi"/>
            <w:noProof/>
            <w:color w:val="auto"/>
            <w:kern w:val="2"/>
            <w:sz w:val="22"/>
            <w:szCs w:val="22"/>
            <w:lang/>
            <w14:ligatures w14:val="standardContextual"/>
          </w:rPr>
          <w:tab/>
        </w:r>
        <w:r w:rsidR="00FB1A83" w:rsidRPr="00FB1A83">
          <w:rPr>
            <w:rStyle w:val="Hyperlink"/>
            <w:noProof/>
            <w:sz w:val="22"/>
            <w:szCs w:val="22"/>
            <w:lang w:val="fr-FR" w:bidi="fr-FR"/>
          </w:rPr>
          <w:t>Règles supplémentaires pour la cogénération</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_Toc183438089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3</w:t>
        </w:r>
        <w:r w:rsidR="00FB1A83" w:rsidRPr="00FB1A83">
          <w:rPr>
            <w:noProof/>
            <w:webHidden/>
            <w:sz w:val="22"/>
            <w:szCs w:val="22"/>
          </w:rPr>
          <w:fldChar w:fldCharType="end"/>
        </w:r>
      </w:hyperlink>
    </w:p>
    <w:p w14:paraId="1DC4C1C3" w14:textId="2955042A" w:rsidR="00FB1A83" w:rsidRPr="00FB1A83" w:rsidRDefault="00FE1CE3">
      <w:pPr>
        <w:pStyle w:val="Inhopg1"/>
        <w:tabs>
          <w:tab w:val="left" w:pos="480"/>
          <w:tab w:val="right" w:leader="dot" w:pos="10593"/>
        </w:tabs>
        <w:rPr>
          <w:rFonts w:asciiTheme="minorHAnsi" w:eastAsiaTheme="minorEastAsia" w:hAnsiTheme="minorHAnsi" w:cstheme="minorBidi"/>
          <w:noProof/>
          <w:color w:val="auto"/>
          <w:kern w:val="2"/>
          <w:sz w:val="22"/>
          <w:szCs w:val="22"/>
          <w:lang/>
          <w14:ligatures w14:val="standardContextual"/>
        </w:rPr>
      </w:pPr>
      <w:hyperlink w:anchor="_Toc183438090" w:history="1">
        <w:r w:rsidR="00FB1A83" w:rsidRPr="00FB1A83">
          <w:rPr>
            <w:rStyle w:val="Hyperlink"/>
            <w:noProof/>
            <w:sz w:val="22"/>
            <w:szCs w:val="22"/>
          </w:rPr>
          <w:t>6</w:t>
        </w:r>
        <w:r w:rsidR="00FB1A83" w:rsidRPr="00FB1A83">
          <w:rPr>
            <w:rFonts w:asciiTheme="minorHAnsi" w:eastAsiaTheme="minorEastAsia" w:hAnsiTheme="minorHAnsi" w:cstheme="minorBidi"/>
            <w:noProof/>
            <w:color w:val="auto"/>
            <w:kern w:val="2"/>
            <w:sz w:val="22"/>
            <w:szCs w:val="22"/>
            <w:lang/>
            <w14:ligatures w14:val="standardContextual"/>
          </w:rPr>
          <w:tab/>
        </w:r>
        <w:r w:rsidR="00FB1A83" w:rsidRPr="00FB1A83">
          <w:rPr>
            <w:rStyle w:val="Hyperlink"/>
            <w:noProof/>
            <w:sz w:val="22"/>
            <w:szCs w:val="22"/>
            <w:lang w:val="fr-FR" w:bidi="fr-FR"/>
          </w:rPr>
          <w:t>Travaux commandés par EMS en dehors de la Belgique</w:t>
        </w:r>
        <w:r w:rsidR="00FB1A83" w:rsidRPr="00FB1A83">
          <w:rPr>
            <w:noProof/>
            <w:webHidden/>
            <w:sz w:val="22"/>
            <w:szCs w:val="22"/>
          </w:rPr>
          <w:tab/>
        </w:r>
        <w:r w:rsidR="00FB1A83" w:rsidRPr="00FB1A83">
          <w:rPr>
            <w:noProof/>
            <w:webHidden/>
            <w:sz w:val="22"/>
            <w:szCs w:val="22"/>
          </w:rPr>
          <w:fldChar w:fldCharType="begin"/>
        </w:r>
        <w:r w:rsidR="00FB1A83" w:rsidRPr="00FB1A83">
          <w:rPr>
            <w:noProof/>
            <w:webHidden/>
            <w:sz w:val="22"/>
            <w:szCs w:val="22"/>
          </w:rPr>
          <w:instrText xml:space="preserve"> PAGEREF _Toc183438090 \h </w:instrText>
        </w:r>
        <w:r w:rsidR="00FB1A83" w:rsidRPr="00FB1A83">
          <w:rPr>
            <w:noProof/>
            <w:webHidden/>
            <w:sz w:val="22"/>
            <w:szCs w:val="22"/>
          </w:rPr>
        </w:r>
        <w:r w:rsidR="00FB1A83" w:rsidRPr="00FB1A83">
          <w:rPr>
            <w:noProof/>
            <w:webHidden/>
            <w:sz w:val="22"/>
            <w:szCs w:val="22"/>
          </w:rPr>
          <w:fldChar w:fldCharType="separate"/>
        </w:r>
        <w:r w:rsidR="00FB1A83" w:rsidRPr="00FB1A83">
          <w:rPr>
            <w:noProof/>
            <w:webHidden/>
            <w:sz w:val="22"/>
            <w:szCs w:val="22"/>
          </w:rPr>
          <w:t>4</w:t>
        </w:r>
        <w:r w:rsidR="00FB1A83" w:rsidRPr="00FB1A83">
          <w:rPr>
            <w:noProof/>
            <w:webHidden/>
            <w:sz w:val="22"/>
            <w:szCs w:val="22"/>
          </w:rPr>
          <w:fldChar w:fldCharType="end"/>
        </w:r>
      </w:hyperlink>
    </w:p>
    <w:p w14:paraId="40D9B3EE" w14:textId="204A24BE" w:rsidR="00D131B1" w:rsidRDefault="00977D29" w:rsidP="00FB1A83">
      <w:pPr>
        <w:pStyle w:val="Tableofcontents0"/>
        <w:tabs>
          <w:tab w:val="left" w:pos="1094"/>
          <w:tab w:val="right" w:leader="dot" w:pos="10535"/>
        </w:tabs>
        <w:spacing w:after="4600"/>
      </w:pPr>
      <w:r>
        <w:rPr>
          <w:lang w:val="fr-FR" w:bidi="fr-FR"/>
        </w:rPr>
        <w:fldChar w:fldCharType="end"/>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670"/>
        <w:gridCol w:w="1310"/>
        <w:gridCol w:w="1939"/>
        <w:gridCol w:w="1589"/>
        <w:gridCol w:w="1642"/>
      </w:tblGrid>
      <w:tr w:rsidR="00D131B1" w14:paraId="18A139E9"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7AD877D1" w14:textId="77777777" w:rsidR="00D131B1" w:rsidRPr="00FB1A83" w:rsidRDefault="00977D29">
            <w:pPr>
              <w:pStyle w:val="Other0"/>
              <w:rPr>
                <w:lang w:val="fr-BE"/>
              </w:rPr>
            </w:pPr>
            <w:r>
              <w:rPr>
                <w:rStyle w:val="Other"/>
                <w:lang w:val="fr-FR" w:bidi="fr-FR"/>
              </w:rPr>
              <w:t>SVR pour les contractants spécifiques à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5D797C45" w14:textId="77777777" w:rsidR="00D131B1" w:rsidRDefault="00977D29">
            <w:pPr>
              <w:pStyle w:val="Other0"/>
            </w:pPr>
            <w:r>
              <w:rPr>
                <w:rStyle w:val="Other"/>
                <w:lang w:val="fr-FR" w:bidi="fr-FR"/>
              </w:rPr>
              <w:t>ZNO.10010317264.000</w:t>
            </w:r>
          </w:p>
        </w:tc>
      </w:tr>
      <w:tr w:rsidR="00D131B1" w14:paraId="0C6FE72A"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7C37671F" w14:textId="77777777" w:rsidR="00D131B1" w:rsidRDefault="00D131B1">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747C1B67" w14:textId="77777777" w:rsidR="00D131B1" w:rsidRDefault="00977D29">
            <w:pPr>
              <w:pStyle w:val="Other0"/>
            </w:pPr>
            <w:r>
              <w:rPr>
                <w:rStyle w:val="Other"/>
                <w:lang w:val="fr-FR" w:bidi="fr-FR"/>
              </w:rPr>
              <w:t>2024-11-20</w:t>
            </w:r>
          </w:p>
        </w:tc>
        <w:tc>
          <w:tcPr>
            <w:tcW w:w="1310" w:type="dxa"/>
            <w:tcBorders>
              <w:top w:val="single" w:sz="4" w:space="0" w:color="auto"/>
              <w:left w:val="single" w:sz="4" w:space="0" w:color="auto"/>
              <w:bottom w:val="single" w:sz="4" w:space="0" w:color="auto"/>
            </w:tcBorders>
            <w:shd w:val="clear" w:color="auto" w:fill="auto"/>
            <w:vAlign w:val="center"/>
          </w:tcPr>
          <w:p w14:paraId="58342418" w14:textId="77777777" w:rsidR="00D131B1" w:rsidRDefault="00977D29">
            <w:pPr>
              <w:pStyle w:val="Other0"/>
            </w:pPr>
            <w:r>
              <w:rPr>
                <w:rStyle w:val="Other"/>
                <w:u w:val="single"/>
                <w:lang w:val="fr-FR" w:bidi="fr-FR"/>
              </w:rPr>
              <w:t>Version : 3.0</w:t>
            </w:r>
          </w:p>
        </w:tc>
        <w:tc>
          <w:tcPr>
            <w:tcW w:w="1939" w:type="dxa"/>
            <w:tcBorders>
              <w:top w:val="single" w:sz="4" w:space="0" w:color="auto"/>
              <w:left w:val="single" w:sz="4" w:space="0" w:color="auto"/>
              <w:bottom w:val="single" w:sz="4" w:space="0" w:color="auto"/>
            </w:tcBorders>
            <w:shd w:val="clear" w:color="auto" w:fill="auto"/>
            <w:vAlign w:val="center"/>
          </w:tcPr>
          <w:p w14:paraId="6359994A" w14:textId="77777777" w:rsidR="00D131B1" w:rsidRDefault="00977D29">
            <w:pPr>
              <w:pStyle w:val="Other0"/>
            </w:pPr>
            <w:r>
              <w:rPr>
                <w:rStyle w:val="Other"/>
                <w:lang w:val="fr-FR" w:bidi="fr-FR"/>
              </w:rPr>
              <w:t>En vigueur</w:t>
            </w:r>
          </w:p>
        </w:tc>
        <w:tc>
          <w:tcPr>
            <w:tcW w:w="1589" w:type="dxa"/>
            <w:tcBorders>
              <w:top w:val="single" w:sz="4" w:space="0" w:color="auto"/>
              <w:left w:val="single" w:sz="4" w:space="0" w:color="auto"/>
              <w:bottom w:val="single" w:sz="4" w:space="0" w:color="auto"/>
            </w:tcBorders>
            <w:shd w:val="clear" w:color="auto" w:fill="auto"/>
            <w:vAlign w:val="center"/>
          </w:tcPr>
          <w:p w14:paraId="7F5A8D49" w14:textId="77777777" w:rsidR="00D131B1" w:rsidRDefault="00977D29">
            <w:pPr>
              <w:pStyle w:val="Other0"/>
            </w:pPr>
            <w:r>
              <w:rPr>
                <w:rStyle w:val="Other"/>
                <w:u w:val="single"/>
                <w:lang w:val="fr-FR" w:bidi="fr-FR"/>
              </w:rPr>
              <w:t>Interne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FEB2ED1" w14:textId="77777777" w:rsidR="00D131B1" w:rsidRDefault="00977D29">
            <w:pPr>
              <w:pStyle w:val="Other0"/>
            </w:pPr>
            <w:r>
              <w:rPr>
                <w:rStyle w:val="Other"/>
                <w:lang w:val="fr-FR" w:bidi="fr-FR"/>
              </w:rPr>
              <w:t>Feuille 1/4</w:t>
            </w:r>
          </w:p>
        </w:tc>
      </w:tr>
    </w:tbl>
    <w:p w14:paraId="3C03E490" w14:textId="77777777" w:rsidR="00D131B1" w:rsidRDefault="00977D29">
      <w:pPr>
        <w:rPr>
          <w:sz w:val="2"/>
          <w:szCs w:val="2"/>
        </w:rPr>
      </w:pPr>
      <w:r>
        <w:rPr>
          <w:noProof/>
          <w:lang w:val="fr-FR" w:bidi="fr-FR"/>
        </w:rPr>
        <w:lastRenderedPageBreak/>
        <w:drawing>
          <wp:inline distT="0" distB="0" distL="0" distR="0" wp14:anchorId="0F7D6BE0" wp14:editId="59A0377B">
            <wp:extent cx="1694815" cy="71310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694815" cy="713105"/>
                    </a:xfrm>
                    <a:prstGeom prst="rect">
                      <a:avLst/>
                    </a:prstGeom>
                  </pic:spPr>
                </pic:pic>
              </a:graphicData>
            </a:graphic>
          </wp:inline>
        </w:drawing>
      </w:r>
    </w:p>
    <w:p w14:paraId="7C644BE4" w14:textId="77777777" w:rsidR="00D131B1" w:rsidRPr="00FB1A83" w:rsidRDefault="00977D29">
      <w:pPr>
        <w:pStyle w:val="Picturecaption0"/>
        <w:rPr>
          <w:lang w:val="fr-BE"/>
        </w:rPr>
      </w:pPr>
      <w:r>
        <w:rPr>
          <w:rStyle w:val="Picturecaption"/>
          <w:lang w:val="fr-FR" w:bidi="fr-FR"/>
        </w:rPr>
        <w:t>ENGIE - BU Generation Europe European Maintenance Support</w:t>
      </w:r>
    </w:p>
    <w:p w14:paraId="2EC05307" w14:textId="77777777" w:rsidR="00D131B1" w:rsidRPr="00FB1A83" w:rsidRDefault="00D131B1">
      <w:pPr>
        <w:spacing w:after="919" w:line="1" w:lineRule="exact"/>
        <w:rPr>
          <w:lang w:val="fr-BE"/>
        </w:rPr>
      </w:pPr>
    </w:p>
    <w:p w14:paraId="233E0E49" w14:textId="77777777" w:rsidR="00D131B1" w:rsidRPr="00FB1A83" w:rsidRDefault="00977D29">
      <w:pPr>
        <w:pStyle w:val="Heading10"/>
        <w:keepNext/>
        <w:keepLines/>
        <w:spacing w:after="260"/>
        <w:rPr>
          <w:lang w:val="fr-BE"/>
        </w:rPr>
      </w:pPr>
      <w:bookmarkStart w:id="0" w:name="bookmark0"/>
      <w:bookmarkStart w:id="1" w:name="_Toc183438083"/>
      <w:r>
        <w:rPr>
          <w:rStyle w:val="Heading1"/>
          <w:rFonts w:ascii="Courier New" w:eastAsia="Courier New" w:hAnsi="Courier New" w:cs="Courier New"/>
          <w:sz w:val="34"/>
          <w:szCs w:val="34"/>
          <w:lang w:val="fr-FR" w:bidi="fr-FR"/>
        </w:rPr>
        <w:t xml:space="preserve">0 </w:t>
      </w:r>
      <w:r>
        <w:rPr>
          <w:rStyle w:val="Heading1"/>
          <w:lang w:val="fr-FR" w:bidi="fr-FR"/>
        </w:rPr>
        <w:t>Objectif</w:t>
      </w:r>
      <w:bookmarkEnd w:id="0"/>
      <w:bookmarkEnd w:id="1"/>
    </w:p>
    <w:p w14:paraId="1EB6B8B9" w14:textId="77777777" w:rsidR="00D131B1" w:rsidRPr="00FB1A83" w:rsidRDefault="00977D29">
      <w:pPr>
        <w:pStyle w:val="Plattetekst"/>
        <w:ind w:left="740"/>
        <w:rPr>
          <w:lang w:val="fr-BE"/>
        </w:rPr>
      </w:pPr>
      <w:r>
        <w:rPr>
          <w:rStyle w:val="PlattetekstChar"/>
          <w:lang w:val="fr-FR" w:bidi="fr-FR"/>
        </w:rPr>
        <w:t>Ce règlement est un complément (point 10) au « Règlement général de sécurité, de santé et d'environnement pour les contractants dans l'exécution des contrats pour Engie Production » (RGSSE). Il décrit les mesures de sécurité, de santé et d'environnement spécifiques à EMS.</w:t>
      </w:r>
    </w:p>
    <w:p w14:paraId="62D95F81" w14:textId="77777777" w:rsidR="00D131B1" w:rsidRPr="00FB1A83" w:rsidRDefault="00977D29">
      <w:pPr>
        <w:pStyle w:val="Plattetekst"/>
        <w:ind w:firstLine="740"/>
        <w:rPr>
          <w:lang w:val="fr-BE"/>
        </w:rPr>
      </w:pPr>
      <w:r>
        <w:rPr>
          <w:rStyle w:val="PlattetekstChar"/>
          <w:lang w:val="fr-FR" w:bidi="fr-FR"/>
        </w:rPr>
        <w:t>Ces informations doivent toujours être complétées par des informations spécifiques concernant :</w:t>
      </w:r>
    </w:p>
    <w:p w14:paraId="4831D0F2" w14:textId="77777777" w:rsidR="00D131B1" w:rsidRPr="00FB1A83" w:rsidRDefault="00977D29">
      <w:pPr>
        <w:pStyle w:val="Plattetekst"/>
        <w:numPr>
          <w:ilvl w:val="0"/>
          <w:numId w:val="2"/>
        </w:numPr>
        <w:tabs>
          <w:tab w:val="left" w:pos="1777"/>
        </w:tabs>
        <w:ind w:left="1460"/>
        <w:rPr>
          <w:lang w:val="fr-BE"/>
        </w:rPr>
      </w:pPr>
      <w:r>
        <w:rPr>
          <w:rStyle w:val="PlattetekstChar"/>
          <w:lang w:val="fr-FR" w:bidi="fr-FR"/>
        </w:rPr>
        <w:t>Les travaux à réaliser. Ces informations sont communiquées lors de la réunion de lancement, de la phase de démarrage et des réunions « boîte à outils ».</w:t>
      </w:r>
    </w:p>
    <w:p w14:paraId="3A29C222" w14:textId="77777777" w:rsidR="00D131B1" w:rsidRPr="00FB1A83" w:rsidRDefault="00977D29">
      <w:pPr>
        <w:pStyle w:val="Plattetekst"/>
        <w:numPr>
          <w:ilvl w:val="0"/>
          <w:numId w:val="2"/>
        </w:numPr>
        <w:tabs>
          <w:tab w:val="left" w:pos="1777"/>
        </w:tabs>
        <w:spacing w:after="920"/>
        <w:ind w:left="1460"/>
        <w:rPr>
          <w:lang w:val="fr-BE"/>
        </w:rPr>
      </w:pPr>
      <w:r>
        <w:rPr>
          <w:rStyle w:val="PlattetekstChar"/>
          <w:lang w:val="fr-FR" w:bidi="fr-FR"/>
        </w:rPr>
        <w:t>Exigences spécifiques de l'unité de production locale</w:t>
      </w:r>
    </w:p>
    <w:p w14:paraId="6F09739B" w14:textId="77777777" w:rsidR="00D131B1" w:rsidRPr="00FB1A83" w:rsidRDefault="00977D29">
      <w:pPr>
        <w:pStyle w:val="Heading10"/>
        <w:keepNext/>
        <w:keepLines/>
        <w:spacing w:after="260"/>
        <w:rPr>
          <w:lang w:val="fr-BE"/>
        </w:rPr>
      </w:pPr>
      <w:bookmarkStart w:id="2" w:name="bookmark3"/>
      <w:bookmarkStart w:id="3" w:name="_Toc183438084"/>
      <w:r>
        <w:rPr>
          <w:rStyle w:val="Heading1"/>
          <w:lang w:val="fr-FR" w:bidi="fr-FR"/>
        </w:rPr>
        <w:t>1 Complément au point « 3.3. Devoir d'information du contractant »</w:t>
      </w:r>
      <w:bookmarkEnd w:id="2"/>
      <w:bookmarkEnd w:id="3"/>
    </w:p>
    <w:p w14:paraId="58A4F8AB" w14:textId="77777777" w:rsidR="00D131B1" w:rsidRPr="00FB1A83" w:rsidRDefault="00977D29">
      <w:pPr>
        <w:pStyle w:val="Plattetekst"/>
        <w:spacing w:after="260"/>
        <w:ind w:left="740"/>
        <w:rPr>
          <w:lang w:val="fr-BE"/>
        </w:rPr>
      </w:pPr>
      <w:r>
        <w:rPr>
          <w:rStyle w:val="PlattetekstChar"/>
          <w:lang w:val="fr-FR" w:bidi="fr-FR"/>
        </w:rPr>
        <w:t>Le fournisseur doit échanger et sécuriser les informations/risques avec le chef de chantier dans le document HD - 241 : Dossier de prévention pour les contractants (Annexe 1)</w:t>
      </w:r>
    </w:p>
    <w:p w14:paraId="4BE49F99" w14:textId="77777777" w:rsidR="00D131B1" w:rsidRPr="00FB1A83" w:rsidRDefault="00977D29">
      <w:pPr>
        <w:pStyle w:val="Plattetekst"/>
        <w:spacing w:after="740"/>
        <w:ind w:left="740"/>
        <w:rPr>
          <w:lang w:val="fr-BE"/>
        </w:rPr>
      </w:pPr>
      <w:r>
        <w:rPr>
          <w:rStyle w:val="PlattetekstChar"/>
          <w:lang w:val="fr-FR" w:bidi="fr-FR"/>
        </w:rPr>
        <w:t>Les documents de sécurité doivent être envoyés au responsable des travaux mentionné sur la commande.</w:t>
      </w:r>
    </w:p>
    <w:p w14:paraId="1CCB8481" w14:textId="77777777" w:rsidR="00D131B1" w:rsidRPr="00FB1A83" w:rsidRDefault="00977D29">
      <w:pPr>
        <w:pStyle w:val="Heading10"/>
        <w:keepNext/>
        <w:keepLines/>
        <w:spacing w:after="260"/>
        <w:rPr>
          <w:lang w:val="fr-BE"/>
        </w:rPr>
      </w:pPr>
      <w:bookmarkStart w:id="4" w:name="bookmark6"/>
      <w:bookmarkStart w:id="5" w:name="_Toc183438085"/>
      <w:r>
        <w:rPr>
          <w:rStyle w:val="Heading1"/>
          <w:lang w:val="fr-FR" w:bidi="fr-FR"/>
        </w:rPr>
        <w:t>2 Complément au point « 3.5. Accès »</w:t>
      </w:r>
      <w:bookmarkEnd w:id="4"/>
      <w:bookmarkEnd w:id="5"/>
    </w:p>
    <w:p w14:paraId="46A70D1F" w14:textId="77777777" w:rsidR="00D131B1" w:rsidRPr="00FB1A83" w:rsidRDefault="00977D29">
      <w:pPr>
        <w:pStyle w:val="Plattetekst"/>
        <w:spacing w:after="740"/>
        <w:ind w:left="740"/>
        <w:rPr>
          <w:lang w:val="fr-BE"/>
        </w:rPr>
      </w:pPr>
      <w:r>
        <w:rPr>
          <w:rStyle w:val="PlattetekstChar"/>
          <w:lang w:val="fr-FR" w:bidi="fr-FR"/>
        </w:rPr>
        <w:t>Comme EMS effectue principalement des travaux sur les sites de production d'ENGIE et chez des clients externes, les règles d'accès du site concerné doivent toujours être respectées.</w:t>
      </w:r>
    </w:p>
    <w:p w14:paraId="11AF4A50" w14:textId="77777777" w:rsidR="00D131B1" w:rsidRPr="00FB1A83" w:rsidRDefault="00977D29">
      <w:pPr>
        <w:pStyle w:val="Heading10"/>
        <w:keepNext/>
        <w:keepLines/>
        <w:numPr>
          <w:ilvl w:val="0"/>
          <w:numId w:val="3"/>
        </w:numPr>
        <w:tabs>
          <w:tab w:val="left" w:pos="710"/>
        </w:tabs>
        <w:spacing w:after="440"/>
        <w:ind w:left="740" w:hanging="740"/>
        <w:rPr>
          <w:lang w:val="fr-BE"/>
        </w:rPr>
      </w:pPr>
      <w:bookmarkStart w:id="6" w:name="bookmark9"/>
      <w:bookmarkStart w:id="7" w:name="_Toc183438086"/>
      <w:r>
        <w:rPr>
          <w:rStyle w:val="Heading1"/>
          <w:lang w:val="fr-FR" w:bidi="fr-FR"/>
        </w:rPr>
        <w:t>Complément au point « 4.1. Règles générales » (réglementation relative aux équipements de travail)</w:t>
      </w:r>
      <w:bookmarkEnd w:id="6"/>
      <w:bookmarkEnd w:id="7"/>
    </w:p>
    <w:p w14:paraId="0CC28FB2" w14:textId="77777777" w:rsidR="00D131B1" w:rsidRPr="00FB1A83" w:rsidRDefault="00977D29">
      <w:pPr>
        <w:pStyle w:val="Plattetekst"/>
        <w:ind w:left="740"/>
        <w:rPr>
          <w:lang w:val="fr-BE"/>
        </w:rPr>
      </w:pPr>
      <w:r>
        <w:rPr>
          <w:rStyle w:val="PlattetekstChar"/>
          <w:lang w:val="fr-FR" w:bidi="fr-FR"/>
        </w:rPr>
        <w:t>Si des équipements de travail appartenant à ENGIE et classés comme outils à risque sont utilisés par le fournisseur pendant l'exécution des travaux, le fournisseur doit indiquer ces équipements de travail sur la liste prévue à cet effet dans le document « HD - 241 » : Dossier de prévention pour les contractants (Annexe 1).</w:t>
      </w:r>
    </w:p>
    <w:p w14:paraId="1F0F4EB9" w14:textId="77777777" w:rsidR="00D131B1" w:rsidRPr="00FB1A83" w:rsidRDefault="00977D29">
      <w:pPr>
        <w:pStyle w:val="Plattetekst"/>
        <w:spacing w:after="740"/>
        <w:ind w:left="740"/>
        <w:rPr>
          <w:lang w:val="fr-BE"/>
        </w:rPr>
      </w:pPr>
      <w:r>
        <w:rPr>
          <w:rStyle w:val="PlattetekstChar"/>
          <w:lang w:val="fr-FR" w:bidi="fr-FR"/>
        </w:rPr>
        <w:t>Le fournisseur ne peut utiliser les équipements de travail visés ci-dessus que si les collaborateurs concernés ont reçu la formation nécessaire et possèdent les connaissances adéquates pour travailler correctement et en toute sécurité avec ces équipements.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670"/>
        <w:gridCol w:w="1310"/>
        <w:gridCol w:w="1939"/>
        <w:gridCol w:w="1589"/>
        <w:gridCol w:w="1642"/>
      </w:tblGrid>
      <w:tr w:rsidR="00D131B1" w14:paraId="5E837F57"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294BC562" w14:textId="77777777" w:rsidR="00D131B1" w:rsidRPr="00FB1A83" w:rsidRDefault="00977D29">
            <w:pPr>
              <w:pStyle w:val="Other0"/>
              <w:rPr>
                <w:lang w:val="fr-BE"/>
              </w:rPr>
            </w:pPr>
            <w:r>
              <w:rPr>
                <w:rStyle w:val="Other"/>
                <w:lang w:val="fr-FR" w:bidi="fr-FR"/>
              </w:rPr>
              <w:t>SVR pour les contractants spécifiques à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5AE00097" w14:textId="77777777" w:rsidR="00D131B1" w:rsidRDefault="00977D29">
            <w:pPr>
              <w:pStyle w:val="Other0"/>
            </w:pPr>
            <w:r>
              <w:rPr>
                <w:rStyle w:val="Other"/>
                <w:lang w:val="fr-FR" w:bidi="fr-FR"/>
              </w:rPr>
              <w:t>ZNO.10010317264.000</w:t>
            </w:r>
          </w:p>
        </w:tc>
      </w:tr>
      <w:tr w:rsidR="00D131B1" w14:paraId="3D02E49C"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75B90851" w14:textId="77777777" w:rsidR="00D131B1" w:rsidRDefault="00D131B1">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5680F1DA" w14:textId="77777777" w:rsidR="00D131B1" w:rsidRDefault="00977D29">
            <w:pPr>
              <w:pStyle w:val="Other0"/>
            </w:pPr>
            <w:r>
              <w:rPr>
                <w:rStyle w:val="Other"/>
                <w:lang w:val="fr-FR" w:bidi="fr-FR"/>
              </w:rPr>
              <w:t>2024-11-20</w:t>
            </w:r>
          </w:p>
        </w:tc>
        <w:tc>
          <w:tcPr>
            <w:tcW w:w="1310" w:type="dxa"/>
            <w:tcBorders>
              <w:top w:val="single" w:sz="4" w:space="0" w:color="auto"/>
              <w:left w:val="single" w:sz="4" w:space="0" w:color="auto"/>
              <w:bottom w:val="single" w:sz="4" w:space="0" w:color="auto"/>
            </w:tcBorders>
            <w:shd w:val="clear" w:color="auto" w:fill="auto"/>
            <w:vAlign w:val="center"/>
          </w:tcPr>
          <w:p w14:paraId="2BCB1DBA" w14:textId="77777777" w:rsidR="00D131B1" w:rsidRDefault="00977D29">
            <w:pPr>
              <w:pStyle w:val="Other0"/>
            </w:pPr>
            <w:r>
              <w:rPr>
                <w:rStyle w:val="Other"/>
                <w:u w:val="single"/>
                <w:lang w:val="fr-FR" w:bidi="fr-FR"/>
              </w:rPr>
              <w:t>Version : 3.0</w:t>
            </w:r>
          </w:p>
        </w:tc>
        <w:tc>
          <w:tcPr>
            <w:tcW w:w="1939" w:type="dxa"/>
            <w:tcBorders>
              <w:top w:val="single" w:sz="4" w:space="0" w:color="auto"/>
              <w:left w:val="single" w:sz="4" w:space="0" w:color="auto"/>
              <w:bottom w:val="single" w:sz="4" w:space="0" w:color="auto"/>
            </w:tcBorders>
            <w:shd w:val="clear" w:color="auto" w:fill="auto"/>
            <w:vAlign w:val="center"/>
          </w:tcPr>
          <w:p w14:paraId="2A4020C5" w14:textId="77777777" w:rsidR="00D131B1" w:rsidRDefault="00977D29">
            <w:pPr>
              <w:pStyle w:val="Other0"/>
            </w:pPr>
            <w:r>
              <w:rPr>
                <w:rStyle w:val="Other"/>
                <w:lang w:val="fr-FR" w:bidi="fr-FR"/>
              </w:rPr>
              <w:t>En vigueur</w:t>
            </w:r>
          </w:p>
        </w:tc>
        <w:tc>
          <w:tcPr>
            <w:tcW w:w="1589" w:type="dxa"/>
            <w:tcBorders>
              <w:top w:val="single" w:sz="4" w:space="0" w:color="auto"/>
              <w:left w:val="single" w:sz="4" w:space="0" w:color="auto"/>
              <w:bottom w:val="single" w:sz="4" w:space="0" w:color="auto"/>
            </w:tcBorders>
            <w:shd w:val="clear" w:color="auto" w:fill="auto"/>
            <w:vAlign w:val="center"/>
          </w:tcPr>
          <w:p w14:paraId="7935E1E1" w14:textId="77777777" w:rsidR="00D131B1" w:rsidRDefault="00977D29">
            <w:pPr>
              <w:pStyle w:val="Other0"/>
            </w:pPr>
            <w:r>
              <w:rPr>
                <w:rStyle w:val="Other"/>
                <w:u w:val="single"/>
                <w:lang w:val="fr-FR" w:bidi="fr-FR"/>
              </w:rPr>
              <w:t>Interne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3277D69" w14:textId="77777777" w:rsidR="00D131B1" w:rsidRDefault="00977D29">
            <w:pPr>
              <w:pStyle w:val="Other0"/>
            </w:pPr>
            <w:r>
              <w:rPr>
                <w:rStyle w:val="Other"/>
                <w:lang w:val="fr-FR" w:bidi="fr-FR"/>
              </w:rPr>
              <w:t>Feuille 2/4</w:t>
            </w:r>
          </w:p>
        </w:tc>
      </w:tr>
    </w:tbl>
    <w:p w14:paraId="330908BE" w14:textId="017D5D8D" w:rsidR="00D131B1" w:rsidRDefault="00D131B1">
      <w:pPr>
        <w:rPr>
          <w:sz w:val="2"/>
          <w:szCs w:val="2"/>
        </w:rPr>
      </w:pPr>
    </w:p>
    <w:p w14:paraId="7CB74E9E" w14:textId="01E442D3" w:rsidR="00FB1A83" w:rsidRDefault="00FB1A83">
      <w:pPr>
        <w:pStyle w:val="Picturecaption0"/>
        <w:rPr>
          <w:rStyle w:val="Picturecaption"/>
          <w:lang w:val="fr-FR" w:bidi="fr-FR"/>
        </w:rPr>
      </w:pPr>
    </w:p>
    <w:p w14:paraId="58068663" w14:textId="03EDDE4A" w:rsidR="00FB1A83" w:rsidRDefault="00FB1A83">
      <w:pPr>
        <w:pStyle w:val="Picturecaption0"/>
        <w:rPr>
          <w:rStyle w:val="Picturecaption"/>
          <w:lang w:val="fr-FR" w:bidi="fr-FR"/>
        </w:rPr>
      </w:pPr>
      <w:r>
        <w:rPr>
          <w:noProof/>
          <w:lang w:val="fr-FR" w:bidi="fr-FR"/>
        </w:rPr>
        <w:lastRenderedPageBreak/>
        <w:drawing>
          <wp:inline distT="0" distB="0" distL="0" distR="0" wp14:anchorId="57756891" wp14:editId="4E39588B">
            <wp:extent cx="1694815" cy="713105"/>
            <wp:effectExtent l="0" t="0" r="0" b="0"/>
            <wp:docPr id="3" name="Picutre 3" descr="A blue logo with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utre 3" descr="A blue logo with a blue circle&#10;&#10;Description automatically generated"/>
                    <pic:cNvPicPr/>
                  </pic:nvPicPr>
                  <pic:blipFill>
                    <a:blip r:embed="rId7"/>
                    <a:stretch/>
                  </pic:blipFill>
                  <pic:spPr>
                    <a:xfrm>
                      <a:off x="0" y="0"/>
                      <a:ext cx="1694815" cy="713105"/>
                    </a:xfrm>
                    <a:prstGeom prst="rect">
                      <a:avLst/>
                    </a:prstGeom>
                  </pic:spPr>
                </pic:pic>
              </a:graphicData>
            </a:graphic>
          </wp:inline>
        </w:drawing>
      </w:r>
    </w:p>
    <w:p w14:paraId="0E1AE697" w14:textId="77777777" w:rsidR="00FB1A83" w:rsidRDefault="00FB1A83">
      <w:pPr>
        <w:pStyle w:val="Picturecaption0"/>
        <w:rPr>
          <w:rStyle w:val="Picturecaption"/>
          <w:lang w:val="fr-FR" w:bidi="fr-FR"/>
        </w:rPr>
      </w:pPr>
    </w:p>
    <w:p w14:paraId="7CA13337" w14:textId="0D5E781B" w:rsidR="00D131B1" w:rsidRPr="00FB1A83" w:rsidRDefault="00977D29">
      <w:pPr>
        <w:pStyle w:val="Picturecaption0"/>
        <w:rPr>
          <w:lang w:val="fr-BE"/>
        </w:rPr>
      </w:pPr>
      <w:r>
        <w:rPr>
          <w:rStyle w:val="Picturecaption"/>
          <w:lang w:val="fr-FR" w:bidi="fr-FR"/>
        </w:rPr>
        <w:t>ENGIE - BU Generation Europe European Maintenance Support</w:t>
      </w:r>
    </w:p>
    <w:p w14:paraId="4F36CF26" w14:textId="77777777" w:rsidR="00D131B1" w:rsidRPr="00FB1A83" w:rsidRDefault="00D131B1">
      <w:pPr>
        <w:spacing w:after="819" w:line="1" w:lineRule="exact"/>
        <w:rPr>
          <w:lang w:val="fr-BE"/>
        </w:rPr>
      </w:pPr>
    </w:p>
    <w:p w14:paraId="04B5BC8D" w14:textId="77777777" w:rsidR="00D131B1" w:rsidRDefault="00977D29">
      <w:pPr>
        <w:pStyle w:val="Heading10"/>
        <w:keepNext/>
        <w:keepLines/>
        <w:numPr>
          <w:ilvl w:val="0"/>
          <w:numId w:val="3"/>
        </w:numPr>
        <w:tabs>
          <w:tab w:val="left" w:pos="717"/>
        </w:tabs>
      </w:pPr>
      <w:bookmarkStart w:id="8" w:name="bookmark12"/>
      <w:bookmarkStart w:id="9" w:name="_Toc183438087"/>
      <w:r>
        <w:rPr>
          <w:rStyle w:val="Heading1"/>
          <w:lang w:val="fr-FR" w:bidi="fr-FR"/>
        </w:rPr>
        <w:t>Complément au point « 4.2. Échafaudage »</w:t>
      </w:r>
      <w:bookmarkEnd w:id="8"/>
      <w:bookmarkEnd w:id="9"/>
    </w:p>
    <w:p w14:paraId="4B0F153C" w14:textId="77777777" w:rsidR="00D131B1" w:rsidRPr="00FB1A83" w:rsidRDefault="00977D29">
      <w:pPr>
        <w:pStyle w:val="Plattetekst"/>
        <w:ind w:left="740"/>
        <w:rPr>
          <w:lang w:val="fr-BE"/>
        </w:rPr>
      </w:pPr>
      <w:r>
        <w:rPr>
          <w:rStyle w:val="PlattetekstChar"/>
          <w:lang w:val="fr-FR" w:bidi="fr-FR"/>
        </w:rPr>
        <w:t>L'utilisateur d'un échafaudage doit avoir reçu une formation lui permettant d'acquérir les connaissances et les compétences nécessaires à l'exercice de ses fonctions. Il doit être en mesure de fournir la preuve de la formation suivie.</w:t>
      </w:r>
    </w:p>
    <w:p w14:paraId="1CAE787D" w14:textId="77777777" w:rsidR="00D131B1" w:rsidRPr="00FB1A83" w:rsidRDefault="00977D29">
      <w:pPr>
        <w:pStyle w:val="Plattetekst"/>
        <w:spacing w:after="740"/>
        <w:ind w:firstLine="740"/>
        <w:rPr>
          <w:lang w:val="fr-BE"/>
        </w:rPr>
      </w:pPr>
      <w:r>
        <w:rPr>
          <w:rStyle w:val="PlattetekstChar"/>
          <w:lang w:val="fr-FR" w:bidi="fr-FR"/>
        </w:rPr>
        <w:t>Mise à jour annuelle obligatoire via le document (Annexe 2)</w:t>
      </w:r>
    </w:p>
    <w:p w14:paraId="6C511725" w14:textId="77777777" w:rsidR="00D131B1" w:rsidRPr="00FB1A83" w:rsidRDefault="00977D29">
      <w:pPr>
        <w:pStyle w:val="Heading10"/>
        <w:keepNext/>
        <w:keepLines/>
        <w:numPr>
          <w:ilvl w:val="0"/>
          <w:numId w:val="3"/>
        </w:numPr>
        <w:tabs>
          <w:tab w:val="left" w:pos="717"/>
        </w:tabs>
        <w:ind w:left="740" w:hanging="740"/>
        <w:rPr>
          <w:lang w:val="fr-BE"/>
        </w:rPr>
      </w:pPr>
      <w:bookmarkStart w:id="10" w:name="bookmark15"/>
      <w:bookmarkStart w:id="11" w:name="_Toc183438088"/>
      <w:r>
        <w:rPr>
          <w:rStyle w:val="Heading1"/>
          <w:lang w:val="fr-FR" w:bidi="fr-FR"/>
        </w:rPr>
        <w:t>Complément au « 4.3. Sélection et utilisation des équipements de protection individuelle (EPI) »</w:t>
      </w:r>
      <w:bookmarkEnd w:id="10"/>
      <w:bookmarkEnd w:id="11"/>
    </w:p>
    <w:p w14:paraId="7DF1C812" w14:textId="77777777" w:rsidR="00D131B1" w:rsidRPr="00FB1A83" w:rsidRDefault="00977D29">
      <w:pPr>
        <w:pStyle w:val="Plattetekst"/>
        <w:ind w:left="740"/>
        <w:rPr>
          <w:lang w:val="fr-BE"/>
        </w:rPr>
      </w:pPr>
      <w:r>
        <w:rPr>
          <w:rStyle w:val="PlattetekstChar"/>
          <w:lang w:val="fr-FR" w:bidi="fr-FR"/>
        </w:rPr>
        <w:t xml:space="preserve">Le port de vêtements de travail, d'un casque de sécurité, de lunettes de sécurité et de chaussures de sécurité est obligatoire </w:t>
      </w:r>
      <w:r>
        <w:rPr>
          <w:rStyle w:val="PlattetekstChar"/>
          <w:b/>
          <w:lang w:val="fr-FR" w:bidi="fr-FR"/>
        </w:rPr>
        <w:t>dans les installations techniques.</w:t>
      </w:r>
      <w:r>
        <w:rPr>
          <w:rStyle w:val="PlattetekstChar"/>
          <w:lang w:val="fr-FR" w:bidi="fr-FR"/>
        </w:rPr>
        <w:t xml:space="preserve"> Le port d'EPI supplémentaires (par exemple, des lunettes de soudage, un écran facial, des bouchons d'oreille) est obligatoire lors de l'exécution de tâches et de travaux spécifiques, ou lorsque l'on s'approche de travaux présentant des risques supplémentaires (sur la base des résultats d'une analyse des risques).</w:t>
      </w:r>
    </w:p>
    <w:p w14:paraId="3F954E74" w14:textId="77777777" w:rsidR="00D131B1" w:rsidRPr="00FB1A83" w:rsidRDefault="00977D29">
      <w:pPr>
        <w:pStyle w:val="Plattetekst"/>
        <w:spacing w:after="740"/>
        <w:ind w:left="740"/>
        <w:rPr>
          <w:lang w:val="fr-BE"/>
        </w:rPr>
      </w:pPr>
      <w:r>
        <w:rPr>
          <w:rStyle w:val="PlattetekstChar"/>
          <w:lang w:val="fr-FR" w:bidi="fr-FR"/>
        </w:rPr>
        <w:t>Pour les fournisseurs d'EMS, comme pour les propres collaborateurs d’EMS, il est obligatoire d'entrer sur le site en tenue de travail complète (pantalon de travail et veste de travail/salopette à longues manches). Les vêtements de travail standard doivent être conformes aux normes EN ISO 11612 A1/B1/C1/F1, EN 1149-5, EN 61482-2.</w:t>
      </w:r>
    </w:p>
    <w:p w14:paraId="5DEF91FA" w14:textId="77777777" w:rsidR="00D131B1" w:rsidRDefault="00977D29">
      <w:pPr>
        <w:pStyle w:val="Heading10"/>
        <w:keepNext/>
        <w:keepLines/>
        <w:numPr>
          <w:ilvl w:val="1"/>
          <w:numId w:val="3"/>
        </w:numPr>
        <w:tabs>
          <w:tab w:val="left" w:pos="717"/>
        </w:tabs>
      </w:pPr>
      <w:bookmarkStart w:id="12" w:name="bookmark18"/>
      <w:bookmarkStart w:id="13" w:name="_Toc183438089"/>
      <w:r>
        <w:rPr>
          <w:rStyle w:val="Heading1"/>
          <w:lang w:val="fr-FR" w:bidi="fr-FR"/>
        </w:rPr>
        <w:t>Règles supplémentaires pour la cogénération</w:t>
      </w:r>
      <w:bookmarkEnd w:id="12"/>
      <w:bookmarkEnd w:id="13"/>
    </w:p>
    <w:p w14:paraId="4AC01BDB" w14:textId="77777777" w:rsidR="00D131B1" w:rsidRPr="00FB1A83" w:rsidRDefault="00977D29">
      <w:pPr>
        <w:pStyle w:val="Plattetekst"/>
        <w:ind w:left="740"/>
        <w:rPr>
          <w:lang w:val="fr-BE"/>
        </w:rPr>
      </w:pPr>
      <w:r>
        <w:rPr>
          <w:rStyle w:val="PlattetekstChar"/>
          <w:lang w:val="fr-FR" w:bidi="fr-FR"/>
        </w:rPr>
        <w:t>Pour les travaux sur les sites de cogénération chez des clients externes, il faut en outre respecter les règles de sécurité de ces clients externes.</w:t>
      </w:r>
    </w:p>
    <w:p w14:paraId="46F979F3" w14:textId="77777777" w:rsidR="00D131B1" w:rsidRPr="00FB1A83" w:rsidRDefault="00977D29">
      <w:pPr>
        <w:pStyle w:val="Plattetekst"/>
        <w:spacing w:after="320"/>
        <w:ind w:left="740"/>
        <w:rPr>
          <w:lang w:val="fr-BE"/>
        </w:rPr>
      </w:pPr>
      <w:r>
        <w:rPr>
          <w:rStyle w:val="PlattetekstChar"/>
          <w:lang w:val="fr-FR" w:bidi="fr-FR"/>
        </w:rPr>
        <w:t>Les réglementations les plus récentes peuvent toujours être vérifiées auprès du client externe.</w:t>
      </w:r>
    </w:p>
    <w:p w14:paraId="6BC82D80" w14:textId="77777777" w:rsidR="00D131B1" w:rsidRPr="00FB1A83" w:rsidRDefault="00977D29">
      <w:pPr>
        <w:pStyle w:val="Plattetekst"/>
        <w:ind w:left="740"/>
        <w:rPr>
          <w:lang w:val="fr-BE"/>
        </w:rPr>
      </w:pPr>
      <w:r>
        <w:rPr>
          <w:rStyle w:val="PlattetekstChar"/>
          <w:lang w:val="fr-FR" w:bidi="fr-FR"/>
        </w:rPr>
        <w:t>En ce qui concerne les EPI, il convient de prévoir au moins les éléments suivants lors de travaux sur les sites de cogénération :</w:t>
      </w:r>
    </w:p>
    <w:p w14:paraId="7986799D" w14:textId="77777777" w:rsidR="00D131B1" w:rsidRPr="00FB1A83" w:rsidRDefault="00977D29">
      <w:pPr>
        <w:pStyle w:val="Plattetekst"/>
        <w:numPr>
          <w:ilvl w:val="0"/>
          <w:numId w:val="4"/>
        </w:numPr>
        <w:tabs>
          <w:tab w:val="left" w:pos="1801"/>
        </w:tabs>
        <w:ind w:left="1800" w:hanging="360"/>
        <w:rPr>
          <w:lang w:val="fr-BE"/>
        </w:rPr>
      </w:pPr>
      <w:r>
        <w:rPr>
          <w:rStyle w:val="PlattetekstChar"/>
          <w:lang w:val="fr-FR" w:bidi="fr-FR"/>
        </w:rPr>
        <w:t>Les vêtements de travail standard doivent être résistants au feu conformément à la norme EN 11612 A1/B2/C1 et antistatiques conformément à la norme 1149-5</w:t>
      </w:r>
    </w:p>
    <w:p w14:paraId="36F46E74" w14:textId="77777777" w:rsidR="00D131B1" w:rsidRPr="00FB1A83" w:rsidRDefault="00977D29">
      <w:pPr>
        <w:pStyle w:val="Plattetekst"/>
        <w:numPr>
          <w:ilvl w:val="0"/>
          <w:numId w:val="4"/>
        </w:numPr>
        <w:tabs>
          <w:tab w:val="left" w:pos="1801"/>
        </w:tabs>
        <w:ind w:left="1440"/>
        <w:rPr>
          <w:lang w:val="fr-BE"/>
        </w:rPr>
      </w:pPr>
      <w:r>
        <w:rPr>
          <w:rStyle w:val="PlattetekstChar"/>
          <w:lang w:val="fr-FR" w:bidi="fr-FR"/>
        </w:rPr>
        <w:t>Les vêtements de travail des soudeurs doivent être conformes à la norme EN 11611</w:t>
      </w:r>
    </w:p>
    <w:p w14:paraId="5A3E19B4" w14:textId="77777777" w:rsidR="00D131B1" w:rsidRPr="00FB1A83" w:rsidRDefault="00977D29">
      <w:pPr>
        <w:pStyle w:val="Plattetekst"/>
        <w:numPr>
          <w:ilvl w:val="0"/>
          <w:numId w:val="4"/>
        </w:numPr>
        <w:tabs>
          <w:tab w:val="left" w:pos="1801"/>
        </w:tabs>
        <w:ind w:left="1440"/>
        <w:rPr>
          <w:lang w:val="fr-BE"/>
        </w:rPr>
      </w:pPr>
      <w:r>
        <w:rPr>
          <w:rStyle w:val="PlattetekstChar"/>
          <w:lang w:val="fr-FR" w:bidi="fr-FR"/>
        </w:rPr>
        <w:t>Les chaussures de sécurité doivent être conformes à la norme EN 345-S3</w:t>
      </w:r>
    </w:p>
    <w:p w14:paraId="1B6CE5C2" w14:textId="77777777" w:rsidR="00D131B1" w:rsidRPr="00FB1A83" w:rsidRDefault="00977D29">
      <w:pPr>
        <w:pStyle w:val="Plattetekst"/>
        <w:numPr>
          <w:ilvl w:val="0"/>
          <w:numId w:val="4"/>
        </w:numPr>
        <w:tabs>
          <w:tab w:val="left" w:pos="1801"/>
        </w:tabs>
        <w:ind w:left="1440"/>
        <w:rPr>
          <w:lang w:val="fr-BE"/>
        </w:rPr>
      </w:pPr>
      <w:r>
        <w:rPr>
          <w:rStyle w:val="PlattetekstChar"/>
          <w:lang w:val="fr-FR" w:bidi="fr-FR"/>
        </w:rPr>
        <w:t>Les lunettes de sécurité doivent être conformes à la norme EN 16321-1</w:t>
      </w:r>
    </w:p>
    <w:p w14:paraId="3BB71560" w14:textId="206BD633" w:rsidR="00D131B1" w:rsidRPr="00FB1A83" w:rsidRDefault="00977D29">
      <w:pPr>
        <w:pStyle w:val="Plattetekst"/>
        <w:numPr>
          <w:ilvl w:val="0"/>
          <w:numId w:val="4"/>
        </w:numPr>
        <w:tabs>
          <w:tab w:val="left" w:pos="1801"/>
          <w:tab w:val="right" w:pos="6240"/>
        </w:tabs>
        <w:ind w:left="1440"/>
        <w:rPr>
          <w:lang w:val="fr-BE"/>
        </w:rPr>
      </w:pPr>
      <w:r>
        <w:rPr>
          <w:rStyle w:val="PlattetekstChar"/>
          <w:lang w:val="fr-FR" w:bidi="fr-FR"/>
        </w:rPr>
        <w:t>Les protections auditives doivent être conformes à la norme EN</w:t>
      </w:r>
      <w:r w:rsidR="00FE1CE3">
        <w:rPr>
          <w:rStyle w:val="PlattetekstChar"/>
          <w:lang w:val="fr-FR" w:bidi="fr-FR"/>
        </w:rPr>
        <w:t xml:space="preserve"> </w:t>
      </w:r>
      <w:r>
        <w:rPr>
          <w:rStyle w:val="PlattetekstChar"/>
          <w:lang w:val="fr-FR" w:bidi="fr-FR"/>
        </w:rPr>
        <w:t>352</w:t>
      </w:r>
    </w:p>
    <w:p w14:paraId="79BBCBCE" w14:textId="2AA67549" w:rsidR="00D131B1" w:rsidRPr="00FE1CE3" w:rsidRDefault="00977D29">
      <w:pPr>
        <w:pStyle w:val="Plattetekst"/>
        <w:numPr>
          <w:ilvl w:val="0"/>
          <w:numId w:val="4"/>
        </w:numPr>
        <w:tabs>
          <w:tab w:val="left" w:pos="1801"/>
        </w:tabs>
        <w:ind w:left="1440"/>
        <w:rPr>
          <w:lang w:val="fr-FR"/>
        </w:rPr>
      </w:pPr>
      <w:r>
        <w:rPr>
          <w:rStyle w:val="PlattetekstChar"/>
          <w:lang w:val="fr-FR" w:bidi="fr-FR"/>
        </w:rPr>
        <w:t>Casque de sécurité avec mentonnière</w:t>
      </w:r>
      <w:r w:rsidR="00FE1CE3">
        <w:rPr>
          <w:rStyle w:val="PlattetekstChar"/>
          <w:lang w:val="fr-FR" w:bidi="fr-FR"/>
        </w:rPr>
        <w:t xml:space="preserve"> EN 12492</w:t>
      </w:r>
    </w:p>
    <w:p w14:paraId="34868610" w14:textId="4D4FEB64" w:rsidR="00D131B1" w:rsidRPr="00FB1A83" w:rsidRDefault="00977D29">
      <w:pPr>
        <w:pStyle w:val="Plattetekst"/>
        <w:numPr>
          <w:ilvl w:val="0"/>
          <w:numId w:val="4"/>
        </w:numPr>
        <w:tabs>
          <w:tab w:val="left" w:pos="1801"/>
          <w:tab w:val="left" w:pos="4784"/>
          <w:tab w:val="left" w:pos="5187"/>
        </w:tabs>
        <w:ind w:left="1440"/>
        <w:rPr>
          <w:lang w:val="fr-BE"/>
        </w:rPr>
      </w:pPr>
      <w:r>
        <w:rPr>
          <w:rStyle w:val="PlattetekstChar"/>
          <w:lang w:val="fr-FR" w:bidi="fr-FR"/>
        </w:rPr>
        <w:t>Protection auditive : conforme à la norme</w:t>
      </w:r>
      <w:r w:rsidR="00FE1CE3">
        <w:rPr>
          <w:rStyle w:val="PlattetekstChar"/>
          <w:lang w:val="fr-FR" w:bidi="fr-FR"/>
        </w:rPr>
        <w:t xml:space="preserve"> </w:t>
      </w:r>
      <w:r>
        <w:rPr>
          <w:rStyle w:val="PlattetekstChar"/>
          <w:lang w:val="fr-FR" w:bidi="fr-FR"/>
        </w:rPr>
        <w:t>EN</w:t>
      </w:r>
      <w:r w:rsidR="00FE1CE3">
        <w:rPr>
          <w:rStyle w:val="PlattetekstChar"/>
          <w:lang w:val="fr-FR" w:bidi="fr-FR"/>
        </w:rPr>
        <w:t xml:space="preserve"> </w:t>
      </w:r>
      <w:r>
        <w:rPr>
          <w:rStyle w:val="PlattetekstChar"/>
          <w:lang w:val="fr-FR" w:bidi="fr-FR"/>
        </w:rPr>
        <w:t>352</w:t>
      </w:r>
    </w:p>
    <w:p w14:paraId="27D1E0C4" w14:textId="5D76C59D" w:rsidR="00D131B1" w:rsidRPr="00FB1A83" w:rsidRDefault="00D131B1" w:rsidP="00FE1CE3">
      <w:pPr>
        <w:pStyle w:val="Plattetekst"/>
        <w:tabs>
          <w:tab w:val="left" w:pos="1801"/>
          <w:tab w:val="left" w:pos="4798"/>
          <w:tab w:val="left" w:pos="5173"/>
        </w:tabs>
        <w:spacing w:after="280"/>
        <w:ind w:left="1440"/>
        <w:rPr>
          <w:lang w:val="fr-BE"/>
        </w:rPr>
      </w:pPr>
    </w:p>
    <w:p w14:paraId="39A88796" w14:textId="77777777" w:rsidR="00D131B1" w:rsidRPr="00FB1A83" w:rsidRDefault="00977D29">
      <w:pPr>
        <w:pStyle w:val="Plattetekst"/>
        <w:ind w:firstLine="740"/>
        <w:rPr>
          <w:lang w:val="fr-BE"/>
        </w:rPr>
      </w:pPr>
      <w:r>
        <w:rPr>
          <w:rStyle w:val="PlattetekstChar"/>
          <w:lang w:val="fr-FR" w:bidi="fr-FR"/>
        </w:rPr>
        <w:t>Certains sites de cogénération sont également soumis à des règles supplémentaires :</w:t>
      </w:r>
    </w:p>
    <w:p w14:paraId="11664ACE" w14:textId="77777777" w:rsidR="00D131B1" w:rsidRPr="00FB1A83" w:rsidRDefault="00977D29">
      <w:pPr>
        <w:pStyle w:val="Plattetekst"/>
        <w:numPr>
          <w:ilvl w:val="0"/>
          <w:numId w:val="4"/>
        </w:numPr>
        <w:tabs>
          <w:tab w:val="left" w:pos="1832"/>
        </w:tabs>
        <w:ind w:left="1560"/>
        <w:rPr>
          <w:lang w:val="fr-BE"/>
        </w:rPr>
      </w:pPr>
      <w:r>
        <w:rPr>
          <w:rStyle w:val="PlattetekstChar"/>
          <w:lang w:val="fr-FR" w:bidi="fr-FR"/>
        </w:rPr>
        <w:t xml:space="preserve">Chaussures de sécurité </w:t>
      </w:r>
      <w:r>
        <w:rPr>
          <w:rStyle w:val="PlattetekstChar"/>
          <w:b/>
          <w:lang w:val="fr-FR" w:bidi="fr-FR"/>
        </w:rPr>
        <w:t xml:space="preserve">hautes </w:t>
      </w:r>
      <w:r>
        <w:rPr>
          <w:rStyle w:val="PlattetekstChar"/>
          <w:lang w:val="fr-FR" w:bidi="fr-FR"/>
        </w:rPr>
        <w:t>conformes à la norme EN 345-S3</w:t>
      </w:r>
    </w:p>
    <w:p w14:paraId="1C5074FD" w14:textId="77777777" w:rsidR="00D131B1" w:rsidRPr="00FB1A83" w:rsidRDefault="00977D29">
      <w:pPr>
        <w:pStyle w:val="Plattetekst"/>
        <w:numPr>
          <w:ilvl w:val="0"/>
          <w:numId w:val="4"/>
        </w:numPr>
        <w:tabs>
          <w:tab w:val="left" w:pos="1832"/>
        </w:tabs>
        <w:spacing w:after="280"/>
        <w:ind w:left="1560"/>
        <w:rPr>
          <w:lang w:val="fr-BE"/>
        </w:rPr>
      </w:pPr>
      <w:r>
        <w:rPr>
          <w:rStyle w:val="PlattetekstChar"/>
          <w:lang w:val="fr-FR" w:bidi="fr-FR"/>
        </w:rPr>
        <w:t>Masque de fuite, filtre ABEK 15 conforme à la norme DIN 58647-7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670"/>
        <w:gridCol w:w="1310"/>
        <w:gridCol w:w="1939"/>
        <w:gridCol w:w="1589"/>
        <w:gridCol w:w="1642"/>
      </w:tblGrid>
      <w:tr w:rsidR="00D131B1" w14:paraId="7A3CD2FC"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55A4D192" w14:textId="77777777" w:rsidR="00D131B1" w:rsidRPr="00FB1A83" w:rsidRDefault="00977D29">
            <w:pPr>
              <w:pStyle w:val="Other0"/>
              <w:rPr>
                <w:lang w:val="fr-BE"/>
              </w:rPr>
            </w:pPr>
            <w:r>
              <w:rPr>
                <w:rStyle w:val="Other"/>
                <w:lang w:val="fr-FR" w:bidi="fr-FR"/>
              </w:rPr>
              <w:t>SVR pour les contractants spécifiques à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2F08A8B4" w14:textId="77777777" w:rsidR="00D131B1" w:rsidRDefault="00977D29">
            <w:pPr>
              <w:pStyle w:val="Other0"/>
            </w:pPr>
            <w:r>
              <w:rPr>
                <w:rStyle w:val="Other"/>
                <w:lang w:val="fr-FR" w:bidi="fr-FR"/>
              </w:rPr>
              <w:t>ZNO.10010317264.000</w:t>
            </w:r>
          </w:p>
        </w:tc>
      </w:tr>
      <w:tr w:rsidR="00D131B1" w14:paraId="785910B4"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0A770656" w14:textId="77777777" w:rsidR="00D131B1" w:rsidRDefault="00D131B1">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133ABD3A" w14:textId="77777777" w:rsidR="00D131B1" w:rsidRDefault="00977D29">
            <w:pPr>
              <w:pStyle w:val="Other0"/>
            </w:pPr>
            <w:r>
              <w:rPr>
                <w:rStyle w:val="Other"/>
                <w:lang w:val="fr-FR" w:bidi="fr-FR"/>
              </w:rPr>
              <w:t>2024-11-20</w:t>
            </w:r>
          </w:p>
        </w:tc>
        <w:tc>
          <w:tcPr>
            <w:tcW w:w="1310" w:type="dxa"/>
            <w:tcBorders>
              <w:top w:val="single" w:sz="4" w:space="0" w:color="auto"/>
              <w:left w:val="single" w:sz="4" w:space="0" w:color="auto"/>
              <w:bottom w:val="single" w:sz="4" w:space="0" w:color="auto"/>
            </w:tcBorders>
            <w:shd w:val="clear" w:color="auto" w:fill="auto"/>
            <w:vAlign w:val="center"/>
          </w:tcPr>
          <w:p w14:paraId="4F7A2573" w14:textId="77777777" w:rsidR="00D131B1" w:rsidRDefault="00977D29">
            <w:pPr>
              <w:pStyle w:val="Other0"/>
            </w:pPr>
            <w:r>
              <w:rPr>
                <w:rStyle w:val="Other"/>
                <w:u w:val="single"/>
                <w:lang w:val="fr-FR" w:bidi="fr-FR"/>
              </w:rPr>
              <w:t>Version : 3.0</w:t>
            </w:r>
          </w:p>
        </w:tc>
        <w:tc>
          <w:tcPr>
            <w:tcW w:w="1939" w:type="dxa"/>
            <w:tcBorders>
              <w:top w:val="single" w:sz="4" w:space="0" w:color="auto"/>
              <w:left w:val="single" w:sz="4" w:space="0" w:color="auto"/>
              <w:bottom w:val="single" w:sz="4" w:space="0" w:color="auto"/>
            </w:tcBorders>
            <w:shd w:val="clear" w:color="auto" w:fill="auto"/>
            <w:vAlign w:val="center"/>
          </w:tcPr>
          <w:p w14:paraId="1BFB7C47" w14:textId="77777777" w:rsidR="00D131B1" w:rsidRDefault="00977D29">
            <w:pPr>
              <w:pStyle w:val="Other0"/>
            </w:pPr>
            <w:r>
              <w:rPr>
                <w:rStyle w:val="Other"/>
                <w:lang w:val="fr-FR" w:bidi="fr-FR"/>
              </w:rPr>
              <w:t>En vigueur</w:t>
            </w:r>
          </w:p>
        </w:tc>
        <w:tc>
          <w:tcPr>
            <w:tcW w:w="1589" w:type="dxa"/>
            <w:tcBorders>
              <w:top w:val="single" w:sz="4" w:space="0" w:color="auto"/>
              <w:left w:val="single" w:sz="4" w:space="0" w:color="auto"/>
              <w:bottom w:val="single" w:sz="4" w:space="0" w:color="auto"/>
            </w:tcBorders>
            <w:shd w:val="clear" w:color="auto" w:fill="auto"/>
            <w:vAlign w:val="center"/>
          </w:tcPr>
          <w:p w14:paraId="19DB7EEB" w14:textId="77777777" w:rsidR="00D131B1" w:rsidRDefault="00977D29">
            <w:pPr>
              <w:pStyle w:val="Other0"/>
            </w:pPr>
            <w:r>
              <w:rPr>
                <w:rStyle w:val="Other"/>
                <w:u w:val="single"/>
                <w:lang w:val="fr-FR" w:bidi="fr-FR"/>
              </w:rPr>
              <w:t>Interne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4A0D005" w14:textId="77777777" w:rsidR="00D131B1" w:rsidRDefault="00977D29">
            <w:pPr>
              <w:pStyle w:val="Other0"/>
            </w:pPr>
            <w:r>
              <w:rPr>
                <w:rStyle w:val="Other"/>
                <w:lang w:val="fr-FR" w:bidi="fr-FR"/>
              </w:rPr>
              <w:t>Feuille 3/4</w:t>
            </w:r>
          </w:p>
        </w:tc>
      </w:tr>
    </w:tbl>
    <w:p w14:paraId="0BE2AEC6" w14:textId="77777777" w:rsidR="00D131B1" w:rsidRDefault="00977D29">
      <w:pPr>
        <w:spacing w:line="1" w:lineRule="exact"/>
        <w:rPr>
          <w:sz w:val="2"/>
          <w:szCs w:val="2"/>
        </w:rPr>
      </w:pPr>
      <w:r>
        <w:rPr>
          <w:lang w:val="fr-FR" w:bidi="fr-FR"/>
        </w:rPr>
        <w:br w:type="page"/>
      </w:r>
    </w:p>
    <w:p w14:paraId="12578C44" w14:textId="77777777" w:rsidR="00D131B1" w:rsidRDefault="00977D29">
      <w:pPr>
        <w:rPr>
          <w:sz w:val="2"/>
          <w:szCs w:val="2"/>
        </w:rPr>
      </w:pPr>
      <w:r>
        <w:rPr>
          <w:noProof/>
          <w:lang w:val="fr-FR" w:bidi="fr-FR"/>
        </w:rPr>
        <w:lastRenderedPageBreak/>
        <w:drawing>
          <wp:inline distT="0" distB="0" distL="0" distR="0" wp14:anchorId="5718540E" wp14:editId="5B5D9438">
            <wp:extent cx="1694815" cy="71310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1694815" cy="713105"/>
                    </a:xfrm>
                    <a:prstGeom prst="rect">
                      <a:avLst/>
                    </a:prstGeom>
                  </pic:spPr>
                </pic:pic>
              </a:graphicData>
            </a:graphic>
          </wp:inline>
        </w:drawing>
      </w:r>
    </w:p>
    <w:p w14:paraId="43ACD83B" w14:textId="77777777" w:rsidR="00D131B1" w:rsidRPr="00FB1A83" w:rsidRDefault="00977D29">
      <w:pPr>
        <w:pStyle w:val="Picturecaption0"/>
        <w:rPr>
          <w:lang w:val="fr-BE"/>
        </w:rPr>
      </w:pPr>
      <w:r>
        <w:rPr>
          <w:rStyle w:val="Picturecaption"/>
          <w:lang w:val="fr-FR" w:bidi="fr-FR"/>
        </w:rPr>
        <w:t>ENGIE - BU Generation Europe European Maintenance Support</w:t>
      </w:r>
    </w:p>
    <w:p w14:paraId="58F02CDE" w14:textId="77777777" w:rsidR="00D131B1" w:rsidRPr="00FB1A83" w:rsidRDefault="00D131B1">
      <w:pPr>
        <w:spacing w:after="659" w:line="1" w:lineRule="exact"/>
        <w:rPr>
          <w:lang w:val="fr-BE"/>
        </w:rPr>
      </w:pPr>
    </w:p>
    <w:p w14:paraId="10F62DE6" w14:textId="77777777" w:rsidR="00D131B1" w:rsidRPr="00FB1A83" w:rsidRDefault="00977D29">
      <w:pPr>
        <w:pStyle w:val="Heading10"/>
        <w:keepNext/>
        <w:keepLines/>
        <w:numPr>
          <w:ilvl w:val="0"/>
          <w:numId w:val="3"/>
        </w:numPr>
        <w:tabs>
          <w:tab w:val="left" w:pos="710"/>
        </w:tabs>
        <w:spacing w:after="400"/>
        <w:rPr>
          <w:lang w:val="fr-BE"/>
        </w:rPr>
      </w:pPr>
      <w:bookmarkStart w:id="14" w:name="bookmark21"/>
      <w:bookmarkStart w:id="15" w:name="_Toc183438090"/>
      <w:r>
        <w:rPr>
          <w:rStyle w:val="Heading1"/>
          <w:lang w:val="fr-FR" w:bidi="fr-FR"/>
        </w:rPr>
        <w:t>Travaux commandés par EMS en dehors de la Belgique</w:t>
      </w:r>
      <w:bookmarkEnd w:id="14"/>
      <w:bookmarkEnd w:id="15"/>
    </w:p>
    <w:p w14:paraId="4F4B7D96" w14:textId="77777777" w:rsidR="00D131B1" w:rsidRPr="00FB1A83" w:rsidRDefault="00977D29">
      <w:pPr>
        <w:pStyle w:val="Plattetekst"/>
        <w:spacing w:after="11120"/>
        <w:ind w:left="720"/>
        <w:rPr>
          <w:lang w:val="fr-BE"/>
        </w:rPr>
      </w:pPr>
      <w:r>
        <w:rPr>
          <w:rStyle w:val="PlattetekstChar"/>
          <w:lang w:val="fr-FR" w:bidi="fr-FR"/>
        </w:rPr>
        <w:t>Veillez toujours à connaître la législation en vigueur dans le pays où vous allez travailler, qui peut différer de la législation belge.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670"/>
        <w:gridCol w:w="1310"/>
        <w:gridCol w:w="1939"/>
        <w:gridCol w:w="1589"/>
        <w:gridCol w:w="1642"/>
      </w:tblGrid>
      <w:tr w:rsidR="00D131B1" w14:paraId="78C21E51"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1E1DC3B4" w14:textId="77777777" w:rsidR="00D131B1" w:rsidRPr="00FB1A83" w:rsidRDefault="00977D29">
            <w:pPr>
              <w:pStyle w:val="Other0"/>
              <w:rPr>
                <w:lang w:val="fr-BE"/>
              </w:rPr>
            </w:pPr>
            <w:r>
              <w:rPr>
                <w:rStyle w:val="Other"/>
                <w:lang w:val="fr-FR" w:bidi="fr-FR"/>
              </w:rPr>
              <w:t>SVR pour les contractants spécifiques à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76E98C8E" w14:textId="77777777" w:rsidR="00D131B1" w:rsidRDefault="00977D29">
            <w:pPr>
              <w:pStyle w:val="Other0"/>
            </w:pPr>
            <w:r>
              <w:rPr>
                <w:rStyle w:val="Other"/>
                <w:lang w:val="fr-FR" w:bidi="fr-FR"/>
              </w:rPr>
              <w:t>ZNO.10010317264.000</w:t>
            </w:r>
          </w:p>
        </w:tc>
      </w:tr>
      <w:tr w:rsidR="00D131B1" w14:paraId="40FFE6CE"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4A11F7A5" w14:textId="77777777" w:rsidR="00D131B1" w:rsidRDefault="00D131B1">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2E565646" w14:textId="77777777" w:rsidR="00D131B1" w:rsidRDefault="00977D29">
            <w:pPr>
              <w:pStyle w:val="Other0"/>
            </w:pPr>
            <w:r>
              <w:rPr>
                <w:rStyle w:val="Other"/>
                <w:lang w:val="fr-FR" w:bidi="fr-FR"/>
              </w:rPr>
              <w:t>2024-11-20</w:t>
            </w:r>
          </w:p>
        </w:tc>
        <w:tc>
          <w:tcPr>
            <w:tcW w:w="1310" w:type="dxa"/>
            <w:tcBorders>
              <w:top w:val="single" w:sz="4" w:space="0" w:color="auto"/>
              <w:left w:val="single" w:sz="4" w:space="0" w:color="auto"/>
              <w:bottom w:val="single" w:sz="4" w:space="0" w:color="auto"/>
            </w:tcBorders>
            <w:shd w:val="clear" w:color="auto" w:fill="auto"/>
            <w:vAlign w:val="center"/>
          </w:tcPr>
          <w:p w14:paraId="41389365" w14:textId="77777777" w:rsidR="00D131B1" w:rsidRDefault="00977D29">
            <w:pPr>
              <w:pStyle w:val="Other0"/>
            </w:pPr>
            <w:r>
              <w:rPr>
                <w:rStyle w:val="Other"/>
                <w:u w:val="single"/>
                <w:lang w:val="fr-FR" w:bidi="fr-FR"/>
              </w:rPr>
              <w:t>Version : 3.0</w:t>
            </w:r>
          </w:p>
        </w:tc>
        <w:tc>
          <w:tcPr>
            <w:tcW w:w="1939" w:type="dxa"/>
            <w:tcBorders>
              <w:top w:val="single" w:sz="4" w:space="0" w:color="auto"/>
              <w:left w:val="single" w:sz="4" w:space="0" w:color="auto"/>
              <w:bottom w:val="single" w:sz="4" w:space="0" w:color="auto"/>
            </w:tcBorders>
            <w:shd w:val="clear" w:color="auto" w:fill="auto"/>
            <w:vAlign w:val="center"/>
          </w:tcPr>
          <w:p w14:paraId="327B6CF9" w14:textId="77777777" w:rsidR="00D131B1" w:rsidRDefault="00977D29">
            <w:pPr>
              <w:pStyle w:val="Other0"/>
            </w:pPr>
            <w:r>
              <w:rPr>
                <w:rStyle w:val="Other"/>
                <w:lang w:val="fr-FR" w:bidi="fr-FR"/>
              </w:rPr>
              <w:t>En vigueur</w:t>
            </w:r>
          </w:p>
        </w:tc>
        <w:tc>
          <w:tcPr>
            <w:tcW w:w="1589" w:type="dxa"/>
            <w:tcBorders>
              <w:top w:val="single" w:sz="4" w:space="0" w:color="auto"/>
              <w:left w:val="single" w:sz="4" w:space="0" w:color="auto"/>
              <w:bottom w:val="single" w:sz="4" w:space="0" w:color="auto"/>
            </w:tcBorders>
            <w:shd w:val="clear" w:color="auto" w:fill="auto"/>
            <w:vAlign w:val="center"/>
          </w:tcPr>
          <w:p w14:paraId="441059C8" w14:textId="77777777" w:rsidR="00D131B1" w:rsidRDefault="00977D29">
            <w:pPr>
              <w:pStyle w:val="Other0"/>
            </w:pPr>
            <w:r>
              <w:rPr>
                <w:rStyle w:val="Other"/>
                <w:u w:val="single"/>
                <w:lang w:val="fr-FR" w:bidi="fr-FR"/>
              </w:rPr>
              <w:t>Interne</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25138E1" w14:textId="77777777" w:rsidR="00D131B1" w:rsidRDefault="00977D29">
            <w:pPr>
              <w:pStyle w:val="Other0"/>
            </w:pPr>
            <w:r>
              <w:rPr>
                <w:rStyle w:val="Other"/>
                <w:lang w:val="fr-FR" w:bidi="fr-FR"/>
              </w:rPr>
              <w:t>Feuille 4/4</w:t>
            </w:r>
          </w:p>
        </w:tc>
      </w:tr>
    </w:tbl>
    <w:p w14:paraId="34464939" w14:textId="77777777" w:rsidR="004C1653" w:rsidRDefault="004C1653"/>
    <w:sectPr w:rsidR="004C1653">
      <w:pgSz w:w="11900" w:h="16840"/>
      <w:pgMar w:top="732" w:right="614" w:bottom="232" w:left="683" w:header="30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4AD6" w14:textId="77777777" w:rsidR="004C1653" w:rsidRDefault="00977D29">
      <w:r>
        <w:separator/>
      </w:r>
    </w:p>
  </w:endnote>
  <w:endnote w:type="continuationSeparator" w:id="0">
    <w:p w14:paraId="40C20EA7" w14:textId="77777777" w:rsidR="004C1653" w:rsidRDefault="0097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2134" w14:textId="77777777" w:rsidR="00D131B1" w:rsidRDefault="00D131B1"/>
  </w:footnote>
  <w:footnote w:type="continuationSeparator" w:id="0">
    <w:p w14:paraId="4ECF3583" w14:textId="77777777" w:rsidR="00D131B1" w:rsidRDefault="00D131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4389"/>
    <w:multiLevelType w:val="multilevel"/>
    <w:tmpl w:val="611CEECC"/>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81819"/>
    <w:multiLevelType w:val="multilevel"/>
    <w:tmpl w:val="6D724F80"/>
    <w:lvl w:ilvl="0">
      <w:start w:val="3"/>
      <w:numFmt w:val="decimal"/>
      <w:lvlText w:val="%1"/>
      <w:lvlJc w:val="left"/>
      <w:rPr>
        <w:rFonts w:ascii="Arial" w:eastAsia="Arial" w:hAnsi="Arial" w:cs="Arial"/>
        <w:b w:val="0"/>
        <w:bCs w:val="0"/>
        <w:i w:val="0"/>
        <w:iCs w:val="0"/>
        <w:smallCaps w:val="0"/>
        <w:strike w:val="0"/>
        <w:color w:val="365F91"/>
        <w:spacing w:val="0"/>
        <w:w w:val="100"/>
        <w:position w:val="0"/>
        <w:sz w:val="32"/>
        <w:szCs w:val="32"/>
        <w:u w:val="none"/>
        <w:shd w:val="clear" w:color="auto" w:fill="auto"/>
        <w:lang w:val="nl-BE" w:eastAsia="nl-BE"/>
      </w:rPr>
    </w:lvl>
    <w:lvl w:ilvl="1">
      <w:start w:val="1"/>
      <w:numFmt w:val="decimal"/>
      <w:lvlText w:val="%1.%2"/>
      <w:lvlJc w:val="left"/>
      <w:rPr>
        <w:rFonts w:ascii="Arial" w:eastAsia="Arial" w:hAnsi="Arial" w:cs="Arial"/>
        <w:b w:val="0"/>
        <w:bCs w:val="0"/>
        <w:i w:val="0"/>
        <w:iCs w:val="0"/>
        <w:smallCaps w:val="0"/>
        <w:strike w:val="0"/>
        <w:color w:val="365F91"/>
        <w:spacing w:val="0"/>
        <w:w w:val="100"/>
        <w:position w:val="0"/>
        <w:sz w:val="32"/>
        <w:szCs w:val="32"/>
        <w:u w:val="none"/>
        <w:shd w:val="clear" w:color="auto" w:fill="auto"/>
        <w:lang w:val="nl-BE" w:eastAsia="nl-B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00225"/>
    <w:multiLevelType w:val="multilevel"/>
    <w:tmpl w:val="02D4BB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019D1"/>
    <w:multiLevelType w:val="multilevel"/>
    <w:tmpl w:val="5B1A8E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964944">
    <w:abstractNumId w:val="0"/>
  </w:num>
  <w:num w:numId="2" w16cid:durableId="42100079">
    <w:abstractNumId w:val="3"/>
  </w:num>
  <w:num w:numId="3" w16cid:durableId="720397899">
    <w:abstractNumId w:val="1"/>
  </w:num>
  <w:num w:numId="4" w16cid:durableId="1138649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B1"/>
    <w:rsid w:val="004C1653"/>
    <w:rsid w:val="006D64A8"/>
    <w:rsid w:val="00977D29"/>
    <w:rsid w:val="00D131B1"/>
    <w:rsid w:val="00E41669"/>
    <w:rsid w:val="00FB1A83"/>
    <w:rsid w:val="00FE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C04F"/>
  <w15:docId w15:val="{238EB86E-C532-4E9D-B082-FD34F992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fr-FR" w:eastAsia="nl-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icturecaption">
    <w:name w:val="Picture caption_"/>
    <w:basedOn w:val="Standaardalinea-lettertype"/>
    <w:link w:val="Picturecaption0"/>
    <w:rPr>
      <w:rFonts w:ascii="Calibri" w:eastAsia="Calibri" w:hAnsi="Calibri" w:cs="Calibri"/>
      <w:b w:val="0"/>
      <w:bCs w:val="0"/>
      <w:i w:val="0"/>
      <w:iCs w:val="0"/>
      <w:smallCaps w:val="0"/>
      <w:strike w:val="0"/>
      <w:sz w:val="22"/>
      <w:szCs w:val="22"/>
      <w:u w:val="none"/>
    </w:rPr>
  </w:style>
  <w:style w:type="character" w:customStyle="1" w:styleId="Bodytext2">
    <w:name w:val="Body text (2)_"/>
    <w:basedOn w:val="Standaardalinea-lettertype"/>
    <w:link w:val="Bodytext20"/>
    <w:rPr>
      <w:rFonts w:ascii="Arial" w:eastAsia="Arial" w:hAnsi="Arial" w:cs="Arial"/>
      <w:b/>
      <w:bCs/>
      <w:i w:val="0"/>
      <w:iCs w:val="0"/>
      <w:smallCaps w:val="0"/>
      <w:strike w:val="0"/>
      <w:sz w:val="36"/>
      <w:szCs w:val="36"/>
      <w:u w:val="none"/>
    </w:rPr>
  </w:style>
  <w:style w:type="character" w:customStyle="1" w:styleId="PlattetekstChar">
    <w:name w:val="Platte tekst Char"/>
    <w:basedOn w:val="Standaardalinea-lettertype"/>
    <w:link w:val="Plattetekst"/>
    <w:rPr>
      <w:rFonts w:ascii="Arial" w:eastAsia="Arial" w:hAnsi="Arial" w:cs="Arial"/>
      <w:b w:val="0"/>
      <w:bCs w:val="0"/>
      <w:i w:val="0"/>
      <w:iCs w:val="0"/>
      <w:smallCaps w:val="0"/>
      <w:strike w:val="0"/>
      <w:sz w:val="22"/>
      <w:szCs w:val="22"/>
      <w:u w:val="none"/>
    </w:rPr>
  </w:style>
  <w:style w:type="character" w:customStyle="1" w:styleId="Tableofcontents">
    <w:name w:val="Table of contents_"/>
    <w:basedOn w:val="Standaardalinea-lettertype"/>
    <w:link w:val="Tableofcontents0"/>
    <w:rPr>
      <w:rFonts w:ascii="Arial" w:eastAsia="Arial" w:hAnsi="Arial" w:cs="Arial"/>
      <w:b w:val="0"/>
      <w:bCs w:val="0"/>
      <w:i w:val="0"/>
      <w:iCs w:val="0"/>
      <w:smallCaps w:val="0"/>
      <w:strike w:val="0"/>
      <w:sz w:val="22"/>
      <w:szCs w:val="22"/>
      <w:u w:val="none"/>
    </w:rPr>
  </w:style>
  <w:style w:type="character" w:customStyle="1" w:styleId="Other">
    <w:name w:val="Other_"/>
    <w:basedOn w:val="Standaardalinea-lettertype"/>
    <w:link w:val="Other0"/>
    <w:rPr>
      <w:rFonts w:ascii="Arial" w:eastAsia="Arial" w:hAnsi="Arial" w:cs="Arial"/>
      <w:b w:val="0"/>
      <w:bCs w:val="0"/>
      <w:i w:val="0"/>
      <w:iCs w:val="0"/>
      <w:smallCaps w:val="0"/>
      <w:strike w:val="0"/>
      <w:sz w:val="22"/>
      <w:szCs w:val="22"/>
      <w:u w:val="none"/>
    </w:rPr>
  </w:style>
  <w:style w:type="character" w:customStyle="1" w:styleId="Heading1">
    <w:name w:val="Heading #1_"/>
    <w:basedOn w:val="Standaardalinea-lettertype"/>
    <w:link w:val="Heading10"/>
    <w:rPr>
      <w:rFonts w:ascii="Arial" w:eastAsia="Arial" w:hAnsi="Arial" w:cs="Arial"/>
      <w:b w:val="0"/>
      <w:bCs w:val="0"/>
      <w:i w:val="0"/>
      <w:iCs w:val="0"/>
      <w:smallCaps w:val="0"/>
      <w:strike w:val="0"/>
      <w:color w:val="365F91"/>
      <w:sz w:val="32"/>
      <w:szCs w:val="32"/>
      <w:u w:val="none"/>
    </w:rPr>
  </w:style>
  <w:style w:type="paragraph" w:customStyle="1" w:styleId="Picturecaption0">
    <w:name w:val="Picture caption"/>
    <w:basedOn w:val="Standaard"/>
    <w:link w:val="Picturecaption"/>
    <w:rPr>
      <w:rFonts w:ascii="Calibri" w:eastAsia="Calibri" w:hAnsi="Calibri" w:cs="Calibri"/>
      <w:sz w:val="22"/>
      <w:szCs w:val="22"/>
    </w:rPr>
  </w:style>
  <w:style w:type="paragraph" w:customStyle="1" w:styleId="Bodytext20">
    <w:name w:val="Body text (2)"/>
    <w:basedOn w:val="Standaard"/>
    <w:link w:val="Bodytext2"/>
    <w:pPr>
      <w:jc w:val="center"/>
    </w:pPr>
    <w:rPr>
      <w:rFonts w:ascii="Arial" w:eastAsia="Arial" w:hAnsi="Arial" w:cs="Arial"/>
      <w:b/>
      <w:bCs/>
      <w:sz w:val="36"/>
      <w:szCs w:val="36"/>
    </w:rPr>
  </w:style>
  <w:style w:type="paragraph" w:styleId="Plattetekst">
    <w:name w:val="Body Text"/>
    <w:basedOn w:val="Standaard"/>
    <w:link w:val="PlattetekstChar"/>
    <w:qFormat/>
    <w:rPr>
      <w:rFonts w:ascii="Arial" w:eastAsia="Arial" w:hAnsi="Arial" w:cs="Arial"/>
      <w:sz w:val="22"/>
      <w:szCs w:val="22"/>
    </w:rPr>
  </w:style>
  <w:style w:type="paragraph" w:customStyle="1" w:styleId="Tableofcontents0">
    <w:name w:val="Table of contents"/>
    <w:basedOn w:val="Standaard"/>
    <w:link w:val="Tableofcontents"/>
    <w:pPr>
      <w:spacing w:after="140"/>
    </w:pPr>
    <w:rPr>
      <w:rFonts w:ascii="Arial" w:eastAsia="Arial" w:hAnsi="Arial" w:cs="Arial"/>
      <w:sz w:val="22"/>
      <w:szCs w:val="22"/>
    </w:rPr>
  </w:style>
  <w:style w:type="paragraph" w:customStyle="1" w:styleId="Other0">
    <w:name w:val="Other"/>
    <w:basedOn w:val="Standaard"/>
    <w:link w:val="Other"/>
    <w:rPr>
      <w:rFonts w:ascii="Arial" w:eastAsia="Arial" w:hAnsi="Arial" w:cs="Arial"/>
      <w:sz w:val="22"/>
      <w:szCs w:val="22"/>
    </w:rPr>
  </w:style>
  <w:style w:type="paragraph" w:customStyle="1" w:styleId="Heading10">
    <w:name w:val="Heading #1"/>
    <w:basedOn w:val="Standaard"/>
    <w:link w:val="Heading1"/>
    <w:pPr>
      <w:spacing w:after="280"/>
      <w:outlineLvl w:val="0"/>
    </w:pPr>
    <w:rPr>
      <w:rFonts w:ascii="Arial" w:eastAsia="Arial" w:hAnsi="Arial" w:cs="Arial"/>
      <w:color w:val="365F91"/>
      <w:sz w:val="32"/>
      <w:szCs w:val="32"/>
    </w:rPr>
  </w:style>
  <w:style w:type="paragraph" w:styleId="Inhopg1">
    <w:name w:val="toc 1"/>
    <w:basedOn w:val="Standaard"/>
    <w:next w:val="Standaard"/>
    <w:autoRedefine/>
    <w:uiPriority w:val="39"/>
    <w:unhideWhenUsed/>
    <w:rsid w:val="00FB1A83"/>
    <w:pPr>
      <w:spacing w:after="100"/>
    </w:pPr>
  </w:style>
  <w:style w:type="character" w:styleId="Hyperlink">
    <w:name w:val="Hyperlink"/>
    <w:basedOn w:val="Standaardalinea-lettertype"/>
    <w:uiPriority w:val="99"/>
    <w:unhideWhenUsed/>
    <w:rsid w:val="00FB1A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a9b9e15-83d2-4075-9282-a04e05c6580a}"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5419</Characters>
  <Application>Microsoft Office Word</Application>
  <DocSecurity>4</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subject/>
  <dc:creator>ICJ585</dc:creator>
  <cp:keywords>Draft</cp:keywords>
  <cp:lastModifiedBy>VAN DER WAL Anja (ENGIE Flexible Generation Europe)</cp:lastModifiedBy>
  <cp:revision>2</cp:revision>
  <dcterms:created xsi:type="dcterms:W3CDTF">2024-11-27T13:46:00Z</dcterms:created>
  <dcterms:modified xsi:type="dcterms:W3CDTF">2024-11-27T13:46:00Z</dcterms:modified>
</cp:coreProperties>
</file>