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1745" w14:textId="6AE14793" w:rsidR="0057545F" w:rsidRPr="00FC6F44" w:rsidRDefault="0057545F" w:rsidP="0057545F">
      <w:pPr>
        <w:pStyle w:val="Level3"/>
        <w:ind w:left="567" w:firstLine="0"/>
        <w:jc w:val="center"/>
        <w:rPr>
          <w:sz w:val="32"/>
          <w:szCs w:val="32"/>
          <w:lang w:val="fr-BE"/>
        </w:rPr>
      </w:pPr>
      <w:bookmarkStart w:id="0" w:name="_Hlk14966836"/>
      <w:r w:rsidRPr="00FC6F44">
        <w:rPr>
          <w:sz w:val="32"/>
          <w:szCs w:val="32"/>
          <w:lang w:val="fr-BE"/>
        </w:rPr>
        <w:t>CONDITIONS</w:t>
      </w:r>
      <w:r w:rsidR="002B15A6">
        <w:rPr>
          <w:sz w:val="32"/>
          <w:szCs w:val="32"/>
          <w:lang w:val="fr-BE"/>
        </w:rPr>
        <w:t xml:space="preserve"> SUPPLEMENTAIRES</w:t>
      </w:r>
    </w:p>
    <w:bookmarkEnd w:id="0"/>
    <w:p w14:paraId="1C5E9C9E" w14:textId="77777777" w:rsidR="0057545F" w:rsidRPr="00FC6F44" w:rsidRDefault="0057545F" w:rsidP="0057545F">
      <w:pPr>
        <w:autoSpaceDE w:val="0"/>
        <w:autoSpaceDN w:val="0"/>
        <w:adjustRightInd w:val="0"/>
        <w:spacing w:after="0" w:line="240" w:lineRule="auto"/>
        <w:rPr>
          <w:rFonts w:ascii="Courier New" w:hAnsi="Courier New" w:cs="Courier New"/>
          <w:color w:val="000000"/>
          <w:sz w:val="24"/>
          <w:szCs w:val="24"/>
          <w:lang w:val="fr-BE"/>
        </w:rPr>
      </w:pPr>
    </w:p>
    <w:p w14:paraId="74AB181C" w14:textId="77777777" w:rsidR="0057545F" w:rsidRPr="00FC6F44" w:rsidRDefault="0057545F" w:rsidP="0057545F">
      <w:pPr>
        <w:autoSpaceDE w:val="0"/>
        <w:autoSpaceDN w:val="0"/>
        <w:adjustRightInd w:val="0"/>
        <w:spacing w:after="0" w:line="240" w:lineRule="auto"/>
        <w:rPr>
          <w:rFonts w:ascii="Courier New" w:hAnsi="Courier New" w:cs="Courier New"/>
          <w:color w:val="000000"/>
          <w:sz w:val="24"/>
          <w:szCs w:val="24"/>
          <w:lang w:val="fr-BE"/>
        </w:rPr>
      </w:pPr>
    </w:p>
    <w:p w14:paraId="51051459" w14:textId="2B7CB5BD" w:rsidR="0057545F" w:rsidRPr="002B15A6" w:rsidRDefault="00FC6F44" w:rsidP="000353D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fr-BE"/>
        </w:rPr>
      </w:pPr>
      <w:r w:rsidRPr="002B15A6">
        <w:rPr>
          <w:rFonts w:ascii="Arial" w:eastAsia="Times New Roman" w:hAnsi="Arial" w:cs="Times New Roman"/>
          <w:bCs w:val="0"/>
          <w:color w:val="auto"/>
          <w:sz w:val="22"/>
          <w:szCs w:val="24"/>
          <w:lang w:val="fr-BE"/>
        </w:rPr>
        <w:t>Seulement d’application avec les Conditions Générales d’Electrabel datées du 15.04.2010 ou avec toutes autres Conditions Générales antérieures au 10/03/2017.</w:t>
      </w:r>
    </w:p>
    <w:p w14:paraId="014208B1" w14:textId="77777777" w:rsidR="000353DF" w:rsidRPr="002B15A6" w:rsidRDefault="000353DF" w:rsidP="0057545F">
      <w:pPr>
        <w:autoSpaceDE w:val="0"/>
        <w:autoSpaceDN w:val="0"/>
        <w:adjustRightInd w:val="0"/>
        <w:spacing w:after="0" w:line="240" w:lineRule="auto"/>
        <w:jc w:val="both"/>
        <w:rPr>
          <w:rFonts w:ascii="Arial" w:hAnsi="Arial" w:cs="Arial"/>
          <w:b/>
          <w:bCs/>
          <w:color w:val="000000"/>
          <w:sz w:val="20"/>
          <w:szCs w:val="20"/>
          <w:u w:val="single"/>
          <w:lang w:val="fr-BE"/>
        </w:rPr>
      </w:pPr>
    </w:p>
    <w:p w14:paraId="502871D2" w14:textId="77777777" w:rsidR="000353DF" w:rsidRPr="000353DF" w:rsidRDefault="000353DF" w:rsidP="000353DF">
      <w:pPr>
        <w:autoSpaceDE w:val="0"/>
        <w:autoSpaceDN w:val="0"/>
        <w:adjustRightInd w:val="0"/>
        <w:spacing w:after="0" w:line="240" w:lineRule="auto"/>
        <w:rPr>
          <w:rFonts w:ascii="Arial" w:hAnsi="Arial" w:cs="Arial"/>
          <w:sz w:val="20"/>
          <w:szCs w:val="20"/>
          <w:lang w:val="fr-BE"/>
        </w:rPr>
      </w:pPr>
      <w:r w:rsidRPr="000353DF">
        <w:rPr>
          <w:rFonts w:ascii="Arial" w:hAnsi="Arial" w:cs="Arial"/>
          <w:b/>
          <w:bCs/>
          <w:color w:val="000000"/>
          <w:sz w:val="20"/>
          <w:szCs w:val="20"/>
          <w:u w:val="single"/>
          <w:lang w:val="fr-BE"/>
        </w:rPr>
        <w:t>L’article 14.2.3.</w:t>
      </w:r>
      <w:r w:rsidRPr="000353DF">
        <w:rPr>
          <w:rFonts w:ascii="Arial" w:hAnsi="Arial" w:cs="Arial"/>
          <w:color w:val="000000"/>
          <w:sz w:val="20"/>
          <w:szCs w:val="20"/>
          <w:lang w:val="fr-BE"/>
        </w:rPr>
        <w:t xml:space="preserve"> des Conditions Générales est modifié comme suit :</w:t>
      </w:r>
    </w:p>
    <w:p w14:paraId="3AA371F0" w14:textId="77777777" w:rsidR="000353DF" w:rsidRPr="000353DF" w:rsidRDefault="000353DF" w:rsidP="000353DF">
      <w:pPr>
        <w:autoSpaceDE w:val="0"/>
        <w:autoSpaceDN w:val="0"/>
        <w:adjustRightInd w:val="0"/>
        <w:spacing w:after="0" w:line="240" w:lineRule="auto"/>
        <w:rPr>
          <w:rFonts w:ascii="Arial" w:hAnsi="Arial" w:cs="Arial"/>
          <w:sz w:val="20"/>
          <w:szCs w:val="20"/>
          <w:lang w:val="fr-BE"/>
        </w:rPr>
      </w:pPr>
      <w:r w:rsidRPr="000353DF">
        <w:rPr>
          <w:rFonts w:ascii="Arial" w:hAnsi="Arial" w:cs="Arial"/>
          <w:color w:val="000000"/>
          <w:sz w:val="20"/>
          <w:szCs w:val="20"/>
          <w:lang w:val="fr-BE"/>
        </w:rPr>
        <w:t>14.2.3. Matériaux cancérogènes</w:t>
      </w:r>
    </w:p>
    <w:p w14:paraId="2B56C633" w14:textId="77777777" w:rsidR="000353DF" w:rsidRPr="000353DF" w:rsidRDefault="000353DF" w:rsidP="000353DF">
      <w:pPr>
        <w:autoSpaceDE w:val="0"/>
        <w:autoSpaceDN w:val="0"/>
        <w:adjustRightInd w:val="0"/>
        <w:spacing w:after="0" w:line="240" w:lineRule="auto"/>
        <w:rPr>
          <w:rFonts w:ascii="Arial" w:hAnsi="Arial" w:cs="Arial"/>
          <w:sz w:val="20"/>
          <w:szCs w:val="20"/>
          <w:lang w:val="fr-BE"/>
        </w:rPr>
      </w:pPr>
      <w:r w:rsidRPr="000353DF">
        <w:rPr>
          <w:rFonts w:ascii="Arial" w:hAnsi="Arial" w:cs="Arial"/>
          <w:color w:val="000000"/>
          <w:sz w:val="20"/>
          <w:szCs w:val="20"/>
          <w:lang w:val="fr-BE"/>
        </w:rPr>
        <w:t>L’utilisation de cancérogènes ou de matériaux potentiellement cancérogènes doit au préalable être approuvée par le Client. Lorsqu’on parle de matériaux cancérogènes, il s’agit de matériaux ou de produits répertoriés en catégorie 1 par le Règlement (CE) n° 1272/2008  et avenants. Des matériaux potentiellement cancérogènes sont des produits répertoriés en catégorie 2 par le Règlement (CE) n° 1272/2008 et avenants.</w:t>
      </w:r>
    </w:p>
    <w:p w14:paraId="3AFE6D57" w14:textId="77777777" w:rsidR="000353DF" w:rsidRPr="000353DF" w:rsidRDefault="000353DF" w:rsidP="000353DF">
      <w:pPr>
        <w:autoSpaceDE w:val="0"/>
        <w:autoSpaceDN w:val="0"/>
        <w:adjustRightInd w:val="0"/>
        <w:spacing w:after="0" w:line="240" w:lineRule="auto"/>
        <w:rPr>
          <w:rFonts w:ascii="Arial" w:hAnsi="Arial" w:cs="Arial"/>
          <w:color w:val="000000"/>
          <w:sz w:val="20"/>
          <w:szCs w:val="20"/>
          <w:lang w:val="fr-BE"/>
        </w:rPr>
      </w:pPr>
    </w:p>
    <w:p w14:paraId="4DB58223" w14:textId="77777777" w:rsidR="000353DF" w:rsidRPr="000353DF" w:rsidRDefault="000353DF" w:rsidP="000353DF">
      <w:pPr>
        <w:autoSpaceDE w:val="0"/>
        <w:autoSpaceDN w:val="0"/>
        <w:adjustRightInd w:val="0"/>
        <w:spacing w:after="0" w:line="240" w:lineRule="auto"/>
        <w:rPr>
          <w:rFonts w:ascii="Arial" w:hAnsi="Arial" w:cs="Arial"/>
          <w:color w:val="000000"/>
          <w:sz w:val="20"/>
          <w:szCs w:val="20"/>
          <w:lang w:val="fr-BE"/>
        </w:rPr>
      </w:pPr>
    </w:p>
    <w:p w14:paraId="474E6942" w14:textId="77777777" w:rsidR="000353DF" w:rsidRPr="000353DF" w:rsidRDefault="000353DF" w:rsidP="000353DF">
      <w:pPr>
        <w:autoSpaceDE w:val="0"/>
        <w:autoSpaceDN w:val="0"/>
        <w:adjustRightInd w:val="0"/>
        <w:spacing w:after="0" w:line="240" w:lineRule="auto"/>
        <w:rPr>
          <w:rFonts w:ascii="Arial" w:hAnsi="Arial" w:cs="Arial"/>
          <w:sz w:val="20"/>
          <w:szCs w:val="20"/>
          <w:lang w:val="fr-BE"/>
        </w:rPr>
      </w:pPr>
      <w:r w:rsidRPr="000353DF">
        <w:rPr>
          <w:rFonts w:ascii="Arial" w:hAnsi="Arial" w:cs="Arial"/>
          <w:b/>
          <w:bCs/>
          <w:color w:val="000000"/>
          <w:sz w:val="20"/>
          <w:szCs w:val="20"/>
          <w:u w:val="single"/>
          <w:lang w:val="fr-BE"/>
        </w:rPr>
        <w:t>L'article 13.1.</w:t>
      </w:r>
      <w:r w:rsidRPr="000353DF">
        <w:rPr>
          <w:rFonts w:ascii="Arial" w:hAnsi="Arial" w:cs="Arial"/>
          <w:color w:val="000000"/>
          <w:sz w:val="20"/>
          <w:szCs w:val="20"/>
          <w:lang w:val="fr-BE"/>
        </w:rPr>
        <w:t xml:space="preserve"> alinéa 4 des Conditions Générales est complété comme suit :</w:t>
      </w:r>
    </w:p>
    <w:p w14:paraId="2628DC13" w14:textId="77777777" w:rsidR="000353DF" w:rsidRPr="000353DF" w:rsidRDefault="000353DF" w:rsidP="000353DF">
      <w:pPr>
        <w:autoSpaceDE w:val="0"/>
        <w:autoSpaceDN w:val="0"/>
        <w:adjustRightInd w:val="0"/>
        <w:spacing w:after="0" w:line="240" w:lineRule="auto"/>
        <w:rPr>
          <w:rFonts w:ascii="Arial" w:hAnsi="Arial" w:cs="Arial"/>
          <w:sz w:val="20"/>
          <w:szCs w:val="20"/>
          <w:lang w:val="fr-BE"/>
        </w:rPr>
      </w:pPr>
      <w:r w:rsidRPr="000353DF">
        <w:rPr>
          <w:rFonts w:ascii="Arial" w:hAnsi="Arial" w:cs="Arial"/>
          <w:color w:val="000000"/>
          <w:sz w:val="20"/>
          <w:szCs w:val="20"/>
          <w:lang w:val="fr-BE"/>
        </w:rPr>
        <w:t>Conformément à l'article 31, §1, deuxième et troisième alinéas de la loi du 24 juillet 1987 sur le travail temporaire, le travail intérimaire et la mise de travailleurs à la disposition d'utilisateurs, les Parties reconnaissent et acceptent que le respect, par le Client, des obligations qui lui incombent en matière de bien-être au travail, ainsi que les instructions qui seraient données par le Client dans le cadre de l'exécution de la présente Convention, ne seront pas considérés comme un quelconque exercice de l'autorité, par le Client, sur les travailleurs, engagés par le Contractant pour l'exécution des missions convenues.</w:t>
      </w:r>
    </w:p>
    <w:p w14:paraId="088F893E" w14:textId="77777777" w:rsidR="000353DF" w:rsidRPr="000353DF" w:rsidRDefault="000353DF" w:rsidP="000353DF">
      <w:pPr>
        <w:autoSpaceDE w:val="0"/>
        <w:autoSpaceDN w:val="0"/>
        <w:adjustRightInd w:val="0"/>
        <w:spacing w:after="0" w:line="240" w:lineRule="auto"/>
        <w:rPr>
          <w:rFonts w:ascii="Arial" w:hAnsi="Arial" w:cs="Arial"/>
          <w:color w:val="000000"/>
          <w:sz w:val="20"/>
          <w:szCs w:val="20"/>
          <w:lang w:val="fr-BE"/>
        </w:rPr>
      </w:pPr>
    </w:p>
    <w:p w14:paraId="0590B5D1" w14:textId="77777777" w:rsidR="000353DF" w:rsidRPr="000353DF" w:rsidRDefault="000353DF" w:rsidP="000353DF">
      <w:pPr>
        <w:autoSpaceDE w:val="0"/>
        <w:autoSpaceDN w:val="0"/>
        <w:adjustRightInd w:val="0"/>
        <w:spacing w:after="0" w:line="240" w:lineRule="auto"/>
        <w:rPr>
          <w:rFonts w:ascii="Arial" w:hAnsi="Arial" w:cs="Arial"/>
          <w:sz w:val="20"/>
          <w:szCs w:val="20"/>
          <w:lang w:val="fr-BE"/>
        </w:rPr>
      </w:pPr>
      <w:r w:rsidRPr="000353DF">
        <w:rPr>
          <w:rFonts w:ascii="Arial" w:hAnsi="Arial" w:cs="Arial"/>
          <w:color w:val="000000"/>
          <w:sz w:val="20"/>
          <w:szCs w:val="20"/>
          <w:lang w:val="fr-BE"/>
        </w:rPr>
        <w:t>Sont considérées comme " instructions dans le cadre de l'exécution de la présente convention " au sens de l'alinéa précédent :</w:t>
      </w:r>
    </w:p>
    <w:p w14:paraId="1B9BBF70" w14:textId="4DA23677" w:rsidR="000353DF" w:rsidRPr="000353DF" w:rsidRDefault="000353DF" w:rsidP="000353DF">
      <w:pPr>
        <w:autoSpaceDE w:val="0"/>
        <w:autoSpaceDN w:val="0"/>
        <w:adjustRightInd w:val="0"/>
        <w:spacing w:after="0" w:line="240" w:lineRule="auto"/>
        <w:ind w:left="851"/>
        <w:rPr>
          <w:rFonts w:ascii="Arial" w:hAnsi="Arial" w:cs="Arial"/>
          <w:sz w:val="20"/>
          <w:szCs w:val="20"/>
          <w:lang w:val="fr-BE"/>
        </w:rPr>
      </w:pPr>
      <w:r w:rsidRPr="000353DF">
        <w:rPr>
          <w:rFonts w:ascii="Arial" w:hAnsi="Arial" w:cs="Arial"/>
          <w:color w:val="000000"/>
          <w:sz w:val="20"/>
          <w:szCs w:val="20"/>
          <w:lang w:val="fr-BE"/>
        </w:rPr>
        <w:t xml:space="preserve"> Les instructions et/ou procédures  en matière d'accès, de sécurité et de sûreté des bâtiments ou installations du Client ;</w:t>
      </w:r>
    </w:p>
    <w:p w14:paraId="410BDB1E" w14:textId="63104FB1" w:rsidR="000353DF" w:rsidRPr="000353DF" w:rsidRDefault="000353DF" w:rsidP="000353DF">
      <w:pPr>
        <w:autoSpaceDE w:val="0"/>
        <w:autoSpaceDN w:val="0"/>
        <w:adjustRightInd w:val="0"/>
        <w:spacing w:after="0" w:line="240" w:lineRule="auto"/>
        <w:ind w:left="851"/>
        <w:rPr>
          <w:rFonts w:ascii="Arial" w:hAnsi="Arial" w:cs="Arial"/>
          <w:sz w:val="20"/>
          <w:szCs w:val="20"/>
          <w:lang w:val="fr-BE"/>
        </w:rPr>
      </w:pPr>
      <w:r w:rsidRPr="000353DF">
        <w:rPr>
          <w:rFonts w:ascii="Arial" w:hAnsi="Arial" w:cs="Arial"/>
          <w:color w:val="000000"/>
          <w:sz w:val="20"/>
          <w:szCs w:val="20"/>
          <w:lang w:val="fr-BE"/>
        </w:rPr>
        <w:t xml:space="preserve"> Les instructions et/ou procédures relatives à l'utilisation des équipements, outils et consommables du Client, si le contrat en permet ou impose l'usage ;</w:t>
      </w:r>
    </w:p>
    <w:p w14:paraId="7EE1E6E9" w14:textId="03CE18B0" w:rsidR="000353DF" w:rsidRPr="000353DF" w:rsidRDefault="000353DF" w:rsidP="000353DF">
      <w:pPr>
        <w:autoSpaceDE w:val="0"/>
        <w:autoSpaceDN w:val="0"/>
        <w:adjustRightInd w:val="0"/>
        <w:spacing w:after="0" w:line="240" w:lineRule="auto"/>
        <w:ind w:left="851"/>
        <w:rPr>
          <w:rFonts w:ascii="Arial" w:hAnsi="Arial" w:cs="Arial"/>
          <w:sz w:val="20"/>
          <w:szCs w:val="20"/>
          <w:lang w:val="fr-BE"/>
        </w:rPr>
      </w:pPr>
      <w:r w:rsidRPr="000353DF">
        <w:rPr>
          <w:rFonts w:ascii="Arial" w:hAnsi="Arial" w:cs="Arial"/>
          <w:color w:val="000000"/>
          <w:sz w:val="20"/>
          <w:szCs w:val="20"/>
          <w:lang w:val="fr-BE"/>
        </w:rPr>
        <w:t xml:space="preserve"> Les instructions relatives aux heures normales d'ouverture et de travail telles qu'elles sont d'application chez le Client, sans néanmoins s'étendre aux instructions concernant la législation en matière de durée du travail pour laquelle seul le Contractant est compétent ;</w:t>
      </w:r>
    </w:p>
    <w:p w14:paraId="3B6470C1" w14:textId="1495D42F" w:rsidR="000353DF" w:rsidRPr="000353DF" w:rsidRDefault="000353DF" w:rsidP="000353DF">
      <w:pPr>
        <w:autoSpaceDE w:val="0"/>
        <w:autoSpaceDN w:val="0"/>
        <w:adjustRightInd w:val="0"/>
        <w:spacing w:after="0" w:line="240" w:lineRule="auto"/>
        <w:ind w:left="851"/>
        <w:rPr>
          <w:rFonts w:ascii="Arial" w:hAnsi="Arial" w:cs="Arial"/>
          <w:sz w:val="20"/>
          <w:szCs w:val="20"/>
          <w:lang w:val="fr-BE"/>
        </w:rPr>
      </w:pPr>
      <w:r w:rsidRPr="000353DF">
        <w:rPr>
          <w:rFonts w:ascii="Arial" w:hAnsi="Arial" w:cs="Arial"/>
          <w:color w:val="000000"/>
          <w:sz w:val="20"/>
          <w:szCs w:val="20"/>
          <w:lang w:val="fr-BE"/>
        </w:rPr>
        <w:t xml:space="preserve"> Les instructions qui émanent du cahier des charges ou du contrat conclu entre le Client et le Contractant;</w:t>
      </w:r>
    </w:p>
    <w:p w14:paraId="17467C8C" w14:textId="52F9C40C" w:rsidR="000353DF" w:rsidRPr="000353DF" w:rsidRDefault="000353DF" w:rsidP="000353DF">
      <w:pPr>
        <w:autoSpaceDE w:val="0"/>
        <w:autoSpaceDN w:val="0"/>
        <w:adjustRightInd w:val="0"/>
        <w:spacing w:after="0" w:line="240" w:lineRule="auto"/>
        <w:ind w:left="851"/>
        <w:rPr>
          <w:rFonts w:ascii="Arial" w:hAnsi="Arial" w:cs="Arial"/>
          <w:sz w:val="20"/>
          <w:szCs w:val="20"/>
          <w:lang w:val="fr-BE"/>
        </w:rPr>
      </w:pPr>
      <w:r w:rsidRPr="000353DF">
        <w:rPr>
          <w:rFonts w:ascii="Arial" w:hAnsi="Arial" w:cs="Arial"/>
          <w:color w:val="000000"/>
          <w:sz w:val="20"/>
          <w:szCs w:val="20"/>
          <w:lang w:val="fr-BE"/>
        </w:rPr>
        <w:t xml:space="preserve"> Les instructions et remarques en cas d'exécution incorrecte du travail tel que déterminé dans ce contrat et les annexes, sans néanmoins s'étendre à imposer des sanctions disciplinaires pour lesquelles seul le Contractant est compétent ;</w:t>
      </w:r>
    </w:p>
    <w:p w14:paraId="0624D7F0" w14:textId="52E2EA4F" w:rsidR="000353DF" w:rsidRPr="000353DF" w:rsidRDefault="000353DF" w:rsidP="000353DF">
      <w:pPr>
        <w:autoSpaceDE w:val="0"/>
        <w:autoSpaceDN w:val="0"/>
        <w:adjustRightInd w:val="0"/>
        <w:spacing w:after="0" w:line="240" w:lineRule="auto"/>
        <w:ind w:left="851"/>
        <w:rPr>
          <w:rFonts w:ascii="Arial" w:hAnsi="Arial" w:cs="Arial"/>
          <w:sz w:val="20"/>
          <w:szCs w:val="20"/>
          <w:lang w:val="fr-BE"/>
        </w:rPr>
      </w:pPr>
      <w:r w:rsidRPr="000353DF">
        <w:rPr>
          <w:rFonts w:ascii="Arial" w:hAnsi="Arial" w:cs="Arial"/>
          <w:color w:val="000000"/>
          <w:sz w:val="20"/>
          <w:szCs w:val="20"/>
          <w:lang w:val="fr-BE"/>
        </w:rPr>
        <w:t xml:space="preserve"> Les instructions qui sont directement liées à la bonne exécution de ce contrat et des annexes.</w:t>
      </w:r>
    </w:p>
    <w:p w14:paraId="4E7CB3D4" w14:textId="77777777" w:rsidR="000353DF" w:rsidRPr="000353DF" w:rsidRDefault="000353DF" w:rsidP="000353DF">
      <w:pPr>
        <w:autoSpaceDE w:val="0"/>
        <w:autoSpaceDN w:val="0"/>
        <w:adjustRightInd w:val="0"/>
        <w:spacing w:after="0" w:line="240" w:lineRule="auto"/>
        <w:rPr>
          <w:rFonts w:ascii="Arial" w:hAnsi="Arial" w:cs="Arial"/>
          <w:color w:val="000000"/>
          <w:sz w:val="20"/>
          <w:szCs w:val="20"/>
          <w:lang w:val="fr-BE"/>
        </w:rPr>
      </w:pPr>
    </w:p>
    <w:p w14:paraId="210BBB36" w14:textId="77777777" w:rsidR="000353DF" w:rsidRPr="000353DF" w:rsidRDefault="000353DF" w:rsidP="000353DF">
      <w:pPr>
        <w:autoSpaceDE w:val="0"/>
        <w:autoSpaceDN w:val="0"/>
        <w:adjustRightInd w:val="0"/>
        <w:spacing w:after="0" w:line="240" w:lineRule="auto"/>
        <w:rPr>
          <w:rFonts w:ascii="Arial" w:hAnsi="Arial" w:cs="Arial"/>
          <w:sz w:val="20"/>
          <w:szCs w:val="20"/>
          <w:lang w:val="fr-BE"/>
        </w:rPr>
      </w:pPr>
      <w:r w:rsidRPr="000353DF">
        <w:rPr>
          <w:rFonts w:ascii="Arial" w:hAnsi="Arial" w:cs="Arial"/>
          <w:color w:val="000000"/>
          <w:sz w:val="20"/>
          <w:szCs w:val="20"/>
          <w:lang w:val="fr-BE"/>
        </w:rPr>
        <w:t>Ce droit d'instruction du Client n'entrave en aucune manière l'autorité patronale du contractant à l'égard de ses travailleurs.</w:t>
      </w:r>
    </w:p>
    <w:p w14:paraId="5A19CF5F" w14:textId="77777777" w:rsidR="000353DF" w:rsidRPr="000353DF" w:rsidRDefault="000353DF" w:rsidP="000353DF">
      <w:pPr>
        <w:autoSpaceDE w:val="0"/>
        <w:autoSpaceDN w:val="0"/>
        <w:adjustRightInd w:val="0"/>
        <w:spacing w:after="0" w:line="240" w:lineRule="auto"/>
        <w:rPr>
          <w:rFonts w:ascii="Arial" w:hAnsi="Arial" w:cs="Arial"/>
          <w:color w:val="000000"/>
          <w:sz w:val="20"/>
          <w:szCs w:val="20"/>
          <w:lang w:val="fr-BE"/>
        </w:rPr>
      </w:pPr>
    </w:p>
    <w:p w14:paraId="2B3557AA" w14:textId="77777777" w:rsidR="000353DF" w:rsidRPr="000353DF" w:rsidRDefault="000353DF" w:rsidP="000353DF">
      <w:pPr>
        <w:autoSpaceDE w:val="0"/>
        <w:autoSpaceDN w:val="0"/>
        <w:adjustRightInd w:val="0"/>
        <w:spacing w:after="0" w:line="240" w:lineRule="auto"/>
        <w:rPr>
          <w:rFonts w:ascii="Times New Roman" w:hAnsi="Times New Roman" w:cs="Times New Roman"/>
          <w:sz w:val="24"/>
          <w:szCs w:val="24"/>
          <w:lang w:val="fr-BE"/>
        </w:rPr>
      </w:pPr>
      <w:r w:rsidRPr="000353DF">
        <w:rPr>
          <w:rFonts w:ascii="Arial" w:hAnsi="Arial" w:cs="Arial"/>
          <w:color w:val="000000"/>
          <w:sz w:val="20"/>
          <w:szCs w:val="20"/>
          <w:lang w:val="fr-BE"/>
        </w:rPr>
        <w:t>Si les membres du conseil d'entreprise du Client le demandent, le Client leur transmettra une copie de la partie de contrat précité dans laquelle est déterminée quelles instructions peuvent être données par le Client aux travailleurs du contractant, selon la procédure prévue à l'article 31, § 1, alinéa 5 de la loi du 24 juillet 1987 et ses éventuels arrêtés d'exécution.</w:t>
      </w:r>
    </w:p>
    <w:p w14:paraId="1999D25A" w14:textId="77777777" w:rsidR="000353DF" w:rsidRDefault="000353DF">
      <w:pPr>
        <w:spacing w:after="160" w:line="259" w:lineRule="auto"/>
        <w:rPr>
          <w:rFonts w:ascii="Arial" w:eastAsia="Times New Roman" w:hAnsi="Arial" w:cs="Times New Roman"/>
          <w:b/>
          <w:szCs w:val="24"/>
          <w:lang w:val="fr-BE"/>
        </w:rPr>
      </w:pPr>
      <w:r>
        <w:rPr>
          <w:rFonts w:ascii="Arial" w:eastAsia="Times New Roman" w:hAnsi="Arial" w:cs="Times New Roman"/>
          <w:bCs/>
          <w:szCs w:val="24"/>
          <w:lang w:val="fr-BE"/>
        </w:rPr>
        <w:br w:type="page"/>
      </w:r>
    </w:p>
    <w:p w14:paraId="2DBFCB97" w14:textId="36A957CB" w:rsidR="0057545F" w:rsidRPr="000353DF" w:rsidRDefault="000353DF" w:rsidP="0057545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fr-BE"/>
        </w:rPr>
      </w:pPr>
      <w:r w:rsidRPr="000353DF">
        <w:rPr>
          <w:rFonts w:ascii="Arial" w:eastAsia="Times New Roman" w:hAnsi="Arial" w:cs="Times New Roman"/>
          <w:bCs w:val="0"/>
          <w:color w:val="auto"/>
          <w:sz w:val="22"/>
          <w:szCs w:val="24"/>
          <w:lang w:val="fr-BE"/>
        </w:rPr>
        <w:lastRenderedPageBreak/>
        <w:t>D’application avec toutes les Conditions Générales d’Electrabel</w:t>
      </w:r>
      <w:r w:rsidR="0057545F" w:rsidRPr="000353DF">
        <w:rPr>
          <w:rFonts w:ascii="Arial" w:eastAsia="Times New Roman" w:hAnsi="Arial" w:cs="Times New Roman"/>
          <w:bCs w:val="0"/>
          <w:color w:val="auto"/>
          <w:sz w:val="22"/>
          <w:szCs w:val="24"/>
          <w:lang w:val="fr-BE"/>
        </w:rPr>
        <w:t>.</w:t>
      </w:r>
    </w:p>
    <w:p w14:paraId="31F21FD8" w14:textId="77777777" w:rsidR="0057545F" w:rsidRPr="000353DF" w:rsidRDefault="0057545F" w:rsidP="0057545F">
      <w:pPr>
        <w:autoSpaceDE w:val="0"/>
        <w:autoSpaceDN w:val="0"/>
        <w:adjustRightInd w:val="0"/>
        <w:spacing w:after="0" w:line="240" w:lineRule="auto"/>
        <w:rPr>
          <w:rFonts w:ascii="Courier New" w:hAnsi="Courier New" w:cs="Courier New"/>
          <w:color w:val="000000"/>
          <w:sz w:val="24"/>
          <w:szCs w:val="24"/>
          <w:lang w:val="fr-BE"/>
        </w:rPr>
      </w:pPr>
    </w:p>
    <w:p w14:paraId="5EC5BC77" w14:textId="4637EF92" w:rsidR="000353DF" w:rsidRPr="009967F7" w:rsidRDefault="002B15A6" w:rsidP="000353DF">
      <w:pPr>
        <w:autoSpaceDE w:val="0"/>
        <w:autoSpaceDN w:val="0"/>
        <w:adjustRightInd w:val="0"/>
        <w:spacing w:after="0" w:line="240" w:lineRule="auto"/>
        <w:rPr>
          <w:rFonts w:ascii="Arial" w:hAnsi="Arial" w:cs="Arial"/>
          <w:sz w:val="20"/>
          <w:szCs w:val="20"/>
          <w:lang w:val="fr-BE"/>
        </w:rPr>
      </w:pPr>
      <w:r w:rsidRPr="002B15A6">
        <w:rPr>
          <w:rFonts w:ascii="Arial" w:hAnsi="Arial" w:cs="Arial"/>
          <w:b/>
          <w:bCs/>
          <w:color w:val="000000"/>
          <w:sz w:val="20"/>
          <w:szCs w:val="20"/>
          <w:lang w:val="fr-BE"/>
        </w:rPr>
        <w:t xml:space="preserve">2.1 </w:t>
      </w:r>
      <w:r w:rsidR="000353DF" w:rsidRPr="009967F7">
        <w:rPr>
          <w:rFonts w:ascii="Arial" w:hAnsi="Arial" w:cs="Arial"/>
          <w:b/>
          <w:bCs/>
          <w:color w:val="000000"/>
          <w:sz w:val="20"/>
          <w:szCs w:val="20"/>
          <w:u w:val="single"/>
          <w:lang w:val="fr-BE"/>
        </w:rPr>
        <w:t>L'article 18.</w:t>
      </w:r>
      <w:r w:rsidR="000353DF" w:rsidRPr="009967F7">
        <w:rPr>
          <w:rFonts w:ascii="Arial" w:hAnsi="Arial" w:cs="Arial"/>
          <w:color w:val="000000"/>
          <w:sz w:val="20"/>
          <w:szCs w:val="20"/>
          <w:lang w:val="fr-BE"/>
        </w:rPr>
        <w:t xml:space="preserve"> des Conditions Générales est complété comme suit :</w:t>
      </w:r>
    </w:p>
    <w:p w14:paraId="62DC00D6" w14:textId="77777777" w:rsidR="000353DF" w:rsidRPr="009967F7" w:rsidRDefault="000353DF" w:rsidP="000353DF">
      <w:pPr>
        <w:autoSpaceDE w:val="0"/>
        <w:autoSpaceDN w:val="0"/>
        <w:adjustRightInd w:val="0"/>
        <w:spacing w:after="0" w:line="240" w:lineRule="auto"/>
        <w:rPr>
          <w:rFonts w:ascii="Arial" w:hAnsi="Arial" w:cs="Arial"/>
          <w:color w:val="000000"/>
          <w:sz w:val="20"/>
          <w:szCs w:val="20"/>
          <w:lang w:val="fr-BE"/>
        </w:rPr>
      </w:pPr>
    </w:p>
    <w:p w14:paraId="2D190941"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En plus des conditions de l’article 18 des Conditions Générales d’Electrabel, ce qui suit est d’application si d’informations légalement classifiées (loi du 11/12/1998 ou loi du 15/04/1994) ou classifiées ENGIE (ENGIE classification « Restreint » ou « Secret ») sont concernées:</w:t>
      </w:r>
    </w:p>
    <w:p w14:paraId="3484D197"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Le Contractant doit se conformer aux lois, réglementations et procédures internes du Client liées à la gestion d’informations classifiées (loi du 11/12/1998), catégorisées (loi du 15/04/1994) ou classifiées ENGIE (ENGIE classification « Restreint » ou « Secret »).</w:t>
      </w:r>
    </w:p>
    <w:p w14:paraId="66695290"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Plus précisément :</w:t>
      </w:r>
    </w:p>
    <w:p w14:paraId="71914DCE"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Dès que le Contractant dispose d’informations (écrites, orales ou numériques), il doit les traiter avec précaution. La gestion de documents classifiés (loi du 11/12/1998), des documents catégorisés (loi du 15/04/1994) ou d’informations classifiées ENGIE (ENGIE classification « Restreint » ou « Secret ») doit respecter des règles strictes. Ces règles sont imposées par des réglementations pertinentes et / ou par le Client. Ces règles couvrent l’ensemble du processus : de la création à la destruction des informations. Les exigences minimum suivantes s’appliquent :</w:t>
      </w:r>
    </w:p>
    <w:p w14:paraId="6E62BC76"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 L’officier de sécurité (loi du 1998) ou le délégué de la protection physique (loi du 2011) du Contractant constitue le (seul) point de contact pour le Client en ce qui concerne les règles et la gestion de l’information classifiée.</w:t>
      </w:r>
    </w:p>
    <w:p w14:paraId="5CE4F8F8"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 Si le Contractant ne dispose pas d’officier de sécurité (loi du 1998) ni d’un délégué de la protection physique (loi du 2011), il doit nommer une personne responsable pour faire office de (seul) point de contact pour le Client en ce qui concerne les règles et la gestion de l’information classifiée.</w:t>
      </w:r>
    </w:p>
    <w:p w14:paraId="573036E8"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 xml:space="preserve">- Les informations </w:t>
      </w:r>
      <w:r w:rsidRPr="009967F7">
        <w:rPr>
          <w:rFonts w:ascii="Arial" w:hAnsi="Arial" w:cs="Arial"/>
          <w:color w:val="000000"/>
          <w:sz w:val="20"/>
          <w:szCs w:val="20"/>
          <w:u w:val="single"/>
          <w:lang w:val="fr-BE"/>
        </w:rPr>
        <w:t>légalement</w:t>
      </w:r>
      <w:r w:rsidRPr="009967F7">
        <w:rPr>
          <w:rFonts w:ascii="Arial" w:hAnsi="Arial" w:cs="Arial"/>
          <w:color w:val="000000"/>
          <w:sz w:val="20"/>
          <w:szCs w:val="20"/>
          <w:lang w:val="fr-BE"/>
        </w:rPr>
        <w:t xml:space="preserve"> classifiées (loi du 11/12/1998 ou loi du 15/04/1994) peuvent uniquement être consultées par les personnes disposant du niveau de sécurité correspondant </w:t>
      </w:r>
      <w:r w:rsidRPr="009967F7">
        <w:rPr>
          <w:rFonts w:ascii="Arial" w:hAnsi="Arial" w:cs="Arial"/>
          <w:b/>
          <w:bCs/>
          <w:color w:val="000000"/>
          <w:sz w:val="20"/>
          <w:szCs w:val="20"/>
          <w:lang w:val="fr-BE"/>
        </w:rPr>
        <w:t>et</w:t>
      </w:r>
      <w:r w:rsidRPr="009967F7">
        <w:rPr>
          <w:rFonts w:ascii="Arial" w:hAnsi="Arial" w:cs="Arial"/>
          <w:color w:val="000000"/>
          <w:sz w:val="20"/>
          <w:szCs w:val="20"/>
          <w:lang w:val="fr-BE"/>
        </w:rPr>
        <w:t xml:space="preserve"> ayant le « besoin de savoir » pour l’exécution des travaux.</w:t>
      </w:r>
    </w:p>
    <w:p w14:paraId="6FB742F0"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 xml:space="preserve">- Toutes les informations </w:t>
      </w:r>
      <w:r w:rsidRPr="009967F7">
        <w:rPr>
          <w:rFonts w:ascii="Arial" w:hAnsi="Arial" w:cs="Arial"/>
          <w:color w:val="000000"/>
          <w:sz w:val="20"/>
          <w:szCs w:val="20"/>
          <w:u w:val="single"/>
          <w:lang w:val="fr-BE"/>
        </w:rPr>
        <w:t>légalement</w:t>
      </w:r>
      <w:r w:rsidRPr="009967F7">
        <w:rPr>
          <w:rFonts w:ascii="Arial" w:hAnsi="Arial" w:cs="Arial"/>
          <w:color w:val="000000"/>
          <w:sz w:val="20"/>
          <w:szCs w:val="20"/>
          <w:lang w:val="fr-BE"/>
        </w:rPr>
        <w:t xml:space="preserve"> classifiées (loi du 11/12/1998 ou loi du 15/04/1994) copies incluses, liées à la mission du Contractant d’après le bon de commande, doivent soit être détruites ou renvoyées au Client après la mission.</w:t>
      </w:r>
    </w:p>
    <w:p w14:paraId="648FD72A"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À tout moment, le Client peut conduire, à ses propres frais, un audit afin de vérifier l’exécution effective et correcte de ces règles.</w:t>
      </w:r>
    </w:p>
    <w:p w14:paraId="7D3E4856"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Cet audit doit être réalisé par le Client, ou un autre tiers compétent désigné par le Client.  Le Client accepte de ne pas conduire plus d’un audit par an.</w:t>
      </w:r>
    </w:p>
    <w:p w14:paraId="596A0287"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En cas d’audit, le Client accepte de notifier son intention de conduire cet audit sous un préavis de 2 jours ouvrables.  Le cas échéant, le Client notifie le nom de la société d’audit en charge de la mission d’audit.</w:t>
      </w:r>
    </w:p>
    <w:p w14:paraId="52EFD57A" w14:textId="77777777" w:rsidR="000353DF" w:rsidRPr="009967F7" w:rsidRDefault="000353DF" w:rsidP="000353DF">
      <w:pPr>
        <w:autoSpaceDE w:val="0"/>
        <w:autoSpaceDN w:val="0"/>
        <w:adjustRightInd w:val="0"/>
        <w:spacing w:after="0" w:line="240" w:lineRule="auto"/>
        <w:rPr>
          <w:rFonts w:ascii="Arial" w:hAnsi="Arial" w:cs="Arial"/>
          <w:color w:val="000000"/>
          <w:sz w:val="20"/>
          <w:szCs w:val="20"/>
          <w:lang w:val="fr-BE"/>
        </w:rPr>
      </w:pPr>
    </w:p>
    <w:p w14:paraId="22D2F1BC" w14:textId="6AEE7E84" w:rsidR="0057545F" w:rsidRPr="002B15A6" w:rsidRDefault="0057545F" w:rsidP="0057545F">
      <w:pPr>
        <w:autoSpaceDE w:val="0"/>
        <w:autoSpaceDN w:val="0"/>
        <w:adjustRightInd w:val="0"/>
        <w:spacing w:after="0" w:line="240" w:lineRule="auto"/>
        <w:rPr>
          <w:rFonts w:ascii="Arial" w:hAnsi="Arial" w:cs="Arial"/>
          <w:b/>
          <w:bCs/>
          <w:color w:val="000000"/>
          <w:sz w:val="20"/>
          <w:szCs w:val="20"/>
          <w:u w:val="single"/>
          <w:lang w:val="fr-BE"/>
        </w:rPr>
      </w:pPr>
      <w:r w:rsidRPr="002B15A6">
        <w:rPr>
          <w:rFonts w:ascii="Arial" w:hAnsi="Arial" w:cs="Arial"/>
          <w:b/>
          <w:bCs/>
          <w:color w:val="000000"/>
          <w:sz w:val="20"/>
          <w:szCs w:val="20"/>
          <w:lang w:val="fr-BE"/>
        </w:rPr>
        <w:t>2.2</w:t>
      </w:r>
      <w:r w:rsidRPr="002B15A6">
        <w:rPr>
          <w:rFonts w:ascii="Arial" w:hAnsi="Arial" w:cs="Arial"/>
          <w:b/>
          <w:bCs/>
          <w:color w:val="000000"/>
          <w:sz w:val="20"/>
          <w:szCs w:val="20"/>
          <w:u w:val="single"/>
          <w:lang w:val="fr-BE"/>
        </w:rPr>
        <w:t xml:space="preserve"> </w:t>
      </w:r>
      <w:r w:rsidR="000353DF" w:rsidRPr="002B15A6">
        <w:rPr>
          <w:rFonts w:ascii="Arial" w:hAnsi="Arial" w:cs="Arial"/>
          <w:b/>
          <w:bCs/>
          <w:color w:val="000000"/>
          <w:sz w:val="20"/>
          <w:szCs w:val="20"/>
          <w:u w:val="single"/>
          <w:lang w:val="fr-BE"/>
        </w:rPr>
        <w:t xml:space="preserve">Fournitures par le </w:t>
      </w:r>
      <w:r w:rsidRPr="002B15A6">
        <w:rPr>
          <w:rFonts w:ascii="Arial" w:hAnsi="Arial" w:cs="Arial"/>
          <w:b/>
          <w:bCs/>
          <w:color w:val="000000"/>
          <w:sz w:val="20"/>
          <w:szCs w:val="20"/>
          <w:u w:val="single"/>
          <w:lang w:val="fr-BE"/>
        </w:rPr>
        <w:t>Client:</w:t>
      </w:r>
      <w:r w:rsidRPr="002B15A6">
        <w:rPr>
          <w:rFonts w:ascii="Arial" w:hAnsi="Arial" w:cs="Arial"/>
          <w:b/>
          <w:bCs/>
          <w:color w:val="000000"/>
          <w:sz w:val="20"/>
          <w:szCs w:val="20"/>
          <w:u w:val="single"/>
          <w:lang w:val="fr-BE"/>
        </w:rPr>
        <w:br/>
      </w:r>
    </w:p>
    <w:p w14:paraId="7112DEA4"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Au commencement des Services ou Travaux, Le Client assure, si elles sont disponibles, les fournitures suivantes (à convenir au préalable avec la</w:t>
      </w:r>
    </w:p>
    <w:p w14:paraId="7BF4325C"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personne de contact technique du Client):</w:t>
      </w:r>
    </w:p>
    <w:p w14:paraId="623CEC21" w14:textId="77777777" w:rsidR="000353DF" w:rsidRPr="009967F7" w:rsidRDefault="000353DF" w:rsidP="000353DF">
      <w:pPr>
        <w:autoSpaceDE w:val="0"/>
        <w:autoSpaceDN w:val="0"/>
        <w:adjustRightInd w:val="0"/>
        <w:spacing w:after="0" w:line="240" w:lineRule="auto"/>
        <w:rPr>
          <w:rFonts w:ascii="Arial" w:hAnsi="Arial" w:cs="Arial"/>
          <w:sz w:val="20"/>
          <w:szCs w:val="20"/>
          <w:lang w:val="fr-BE"/>
        </w:rPr>
      </w:pPr>
      <w:r w:rsidRPr="009967F7">
        <w:rPr>
          <w:rFonts w:ascii="Arial" w:hAnsi="Arial" w:cs="Arial"/>
          <w:color w:val="000000"/>
          <w:sz w:val="20"/>
          <w:szCs w:val="20"/>
          <w:lang w:val="fr-BE"/>
        </w:rPr>
        <w:t>- eau, électricité, air comprimé et sanitaires</w:t>
      </w:r>
    </w:p>
    <w:p w14:paraId="4B3880F1" w14:textId="563B9FCE" w:rsidR="0057545F" w:rsidRPr="009967F7" w:rsidRDefault="000353DF" w:rsidP="000353DF">
      <w:pPr>
        <w:autoSpaceDE w:val="0"/>
        <w:autoSpaceDN w:val="0"/>
        <w:adjustRightInd w:val="0"/>
        <w:spacing w:after="0" w:line="240" w:lineRule="auto"/>
        <w:jc w:val="both"/>
        <w:rPr>
          <w:rFonts w:ascii="Arial" w:hAnsi="Arial" w:cs="Arial"/>
          <w:color w:val="000000"/>
          <w:sz w:val="20"/>
          <w:szCs w:val="20"/>
          <w:lang w:val="fr-BE"/>
        </w:rPr>
      </w:pPr>
      <w:r w:rsidRPr="009967F7">
        <w:rPr>
          <w:rFonts w:ascii="Arial" w:hAnsi="Arial" w:cs="Arial"/>
          <w:color w:val="000000"/>
          <w:sz w:val="20"/>
          <w:szCs w:val="20"/>
          <w:lang w:val="fr-BE"/>
        </w:rPr>
        <w:t>- les plans de schéma nécessaires</w:t>
      </w:r>
      <w:r w:rsidR="0057545F" w:rsidRPr="009967F7">
        <w:rPr>
          <w:rFonts w:ascii="Arial" w:hAnsi="Arial" w:cs="Arial"/>
          <w:color w:val="000000"/>
          <w:sz w:val="20"/>
          <w:szCs w:val="20"/>
        </w:rPr>
        <w:fldChar w:fldCharType="begin"/>
      </w:r>
      <w:r w:rsidR="0057545F" w:rsidRPr="009967F7">
        <w:rPr>
          <w:rFonts w:ascii="Arial" w:hAnsi="Arial" w:cs="Arial"/>
          <w:color w:val="000000"/>
          <w:sz w:val="20"/>
          <w:szCs w:val="20"/>
          <w:lang w:val="fr-BE"/>
        </w:rPr>
        <w:instrText>30000015</w:instrText>
      </w:r>
      <w:r w:rsidR="0057545F" w:rsidRPr="009967F7">
        <w:rPr>
          <w:rFonts w:ascii="Arial" w:hAnsi="Arial" w:cs="Arial"/>
          <w:color w:val="000000"/>
          <w:sz w:val="20"/>
          <w:szCs w:val="20"/>
        </w:rPr>
        <w:fldChar w:fldCharType="separate"/>
      </w:r>
      <w:r w:rsidR="0057545F" w:rsidRPr="009967F7">
        <w:rPr>
          <w:rFonts w:ascii="Arial" w:hAnsi="Arial" w:cs="Arial"/>
          <w:color w:val="000000"/>
          <w:sz w:val="20"/>
          <w:szCs w:val="20"/>
          <w:lang w:val="fr-BE"/>
        </w:rPr>
        <w:t>* TO BE COMPLETED BY THE APPLICANT IF NECESSARY</w:t>
      </w:r>
      <w:r w:rsidR="0057545F" w:rsidRPr="009967F7">
        <w:rPr>
          <w:rFonts w:ascii="Arial" w:hAnsi="Arial" w:cs="Arial"/>
          <w:color w:val="000000"/>
          <w:sz w:val="20"/>
          <w:szCs w:val="20"/>
        </w:rPr>
        <w:fldChar w:fldCharType="end"/>
      </w:r>
    </w:p>
    <w:p w14:paraId="51B77D4F" w14:textId="77777777" w:rsidR="0057545F" w:rsidRPr="009967F7" w:rsidRDefault="0057545F" w:rsidP="0057545F">
      <w:pPr>
        <w:autoSpaceDE w:val="0"/>
        <w:autoSpaceDN w:val="0"/>
        <w:adjustRightInd w:val="0"/>
        <w:spacing w:after="0" w:line="240" w:lineRule="auto"/>
        <w:jc w:val="both"/>
        <w:rPr>
          <w:rFonts w:ascii="Arial" w:hAnsi="Arial" w:cs="Arial"/>
          <w:color w:val="000000"/>
          <w:sz w:val="20"/>
          <w:szCs w:val="20"/>
          <w:lang w:val="fr-BE"/>
        </w:rPr>
      </w:pPr>
      <w:r w:rsidRPr="009967F7">
        <w:rPr>
          <w:rFonts w:ascii="Arial" w:hAnsi="Arial" w:cs="Arial"/>
          <w:color w:val="000000"/>
          <w:sz w:val="20"/>
          <w:szCs w:val="20"/>
        </w:rPr>
        <w:fldChar w:fldCharType="begin"/>
      </w:r>
      <w:r w:rsidRPr="009967F7">
        <w:rPr>
          <w:rFonts w:ascii="Arial" w:hAnsi="Arial" w:cs="Arial"/>
          <w:color w:val="000000"/>
          <w:sz w:val="20"/>
          <w:szCs w:val="20"/>
          <w:lang w:val="fr-BE"/>
        </w:rPr>
        <w:instrText>30000018</w:instrText>
      </w:r>
      <w:r w:rsidRPr="009967F7">
        <w:rPr>
          <w:rFonts w:ascii="Arial" w:hAnsi="Arial" w:cs="Arial"/>
          <w:color w:val="000000"/>
          <w:sz w:val="20"/>
          <w:szCs w:val="20"/>
        </w:rPr>
        <w:fldChar w:fldCharType="separate"/>
      </w:r>
      <w:r w:rsidRPr="009967F7">
        <w:rPr>
          <w:rFonts w:ascii="Arial" w:hAnsi="Arial" w:cs="Arial"/>
          <w:color w:val="000000"/>
          <w:sz w:val="20"/>
          <w:szCs w:val="20"/>
          <w:lang w:val="fr-BE"/>
        </w:rPr>
        <w:t>* SUPPLEMENTARY COMMERCIAL TERMS AND CONDITIONS (IF APPLICABLE - OTHERWISE</w:t>
      </w:r>
      <w:r w:rsidRPr="009967F7">
        <w:rPr>
          <w:rFonts w:ascii="Arial" w:hAnsi="Arial" w:cs="Arial"/>
          <w:color w:val="000000"/>
          <w:sz w:val="20"/>
          <w:szCs w:val="20"/>
        </w:rPr>
        <w:fldChar w:fldCharType="end"/>
      </w:r>
      <w:r w:rsidRPr="009967F7">
        <w:rPr>
          <w:rFonts w:ascii="Arial" w:hAnsi="Arial" w:cs="Arial"/>
          <w:color w:val="000000"/>
          <w:sz w:val="20"/>
          <w:szCs w:val="20"/>
        </w:rPr>
        <w:fldChar w:fldCharType="begin"/>
      </w:r>
      <w:r w:rsidRPr="009967F7">
        <w:rPr>
          <w:rFonts w:ascii="Arial" w:hAnsi="Arial" w:cs="Arial"/>
          <w:color w:val="000000"/>
          <w:sz w:val="20"/>
          <w:szCs w:val="20"/>
          <w:lang w:val="fr-BE"/>
        </w:rPr>
        <w:instrText>30000019</w:instrText>
      </w:r>
      <w:r w:rsidRPr="009967F7">
        <w:rPr>
          <w:rFonts w:ascii="Arial" w:hAnsi="Arial" w:cs="Arial"/>
          <w:color w:val="000000"/>
          <w:sz w:val="20"/>
          <w:szCs w:val="20"/>
        </w:rPr>
        <w:fldChar w:fldCharType="separate"/>
      </w:r>
      <w:r w:rsidRPr="009967F7">
        <w:rPr>
          <w:rFonts w:ascii="Arial" w:hAnsi="Arial" w:cs="Arial"/>
          <w:color w:val="000000"/>
          <w:sz w:val="20"/>
          <w:szCs w:val="20"/>
          <w:lang w:val="fr-BE"/>
        </w:rPr>
        <w:t>* WRITE N/A (Not Applicable)-TO BE NEGOTIATED FOR EACH PURCHASE)</w:t>
      </w:r>
      <w:r w:rsidRPr="009967F7">
        <w:rPr>
          <w:rFonts w:ascii="Arial" w:hAnsi="Arial" w:cs="Arial"/>
          <w:color w:val="000000"/>
          <w:sz w:val="20"/>
          <w:szCs w:val="20"/>
        </w:rPr>
        <w:fldChar w:fldCharType="end"/>
      </w:r>
    </w:p>
    <w:p w14:paraId="074F1EC9" w14:textId="77777777" w:rsidR="0057545F" w:rsidRPr="009967F7" w:rsidRDefault="0057545F" w:rsidP="0057545F">
      <w:pPr>
        <w:autoSpaceDE w:val="0"/>
        <w:autoSpaceDN w:val="0"/>
        <w:adjustRightInd w:val="0"/>
        <w:spacing w:after="0" w:line="240" w:lineRule="auto"/>
        <w:ind w:left="720"/>
        <w:rPr>
          <w:rFonts w:ascii="Arial" w:hAnsi="Arial" w:cs="Arial"/>
          <w:color w:val="000000"/>
          <w:sz w:val="20"/>
          <w:szCs w:val="20"/>
          <w:lang w:val="fr-BE"/>
        </w:rPr>
      </w:pPr>
    </w:p>
    <w:p w14:paraId="015CCBC2" w14:textId="01C566A0" w:rsidR="0057545F" w:rsidRPr="002B15A6" w:rsidRDefault="0057545F" w:rsidP="0057545F">
      <w:pPr>
        <w:autoSpaceDE w:val="0"/>
        <w:autoSpaceDN w:val="0"/>
        <w:adjustRightInd w:val="0"/>
        <w:spacing w:after="0" w:line="240" w:lineRule="auto"/>
        <w:rPr>
          <w:rFonts w:ascii="Arial" w:hAnsi="Arial" w:cs="Arial"/>
          <w:b/>
          <w:bCs/>
          <w:color w:val="000000"/>
          <w:sz w:val="20"/>
          <w:szCs w:val="20"/>
          <w:u w:val="single"/>
          <w:lang w:val="fr-BE"/>
        </w:rPr>
      </w:pPr>
      <w:r w:rsidRPr="002B15A6">
        <w:rPr>
          <w:rFonts w:ascii="Arial" w:hAnsi="Arial" w:cs="Arial"/>
          <w:b/>
          <w:bCs/>
          <w:color w:val="000000"/>
          <w:sz w:val="20"/>
          <w:szCs w:val="20"/>
          <w:lang w:val="fr-BE"/>
        </w:rPr>
        <w:t>2.3</w:t>
      </w:r>
      <w:r w:rsidRPr="002B15A6">
        <w:rPr>
          <w:rFonts w:ascii="Arial" w:hAnsi="Arial" w:cs="Arial"/>
          <w:b/>
          <w:bCs/>
          <w:color w:val="000000"/>
          <w:sz w:val="20"/>
          <w:szCs w:val="20"/>
          <w:u w:val="single"/>
          <w:lang w:val="fr-BE"/>
        </w:rPr>
        <w:t xml:space="preserve"> Accepta</w:t>
      </w:r>
      <w:r w:rsidR="000353DF" w:rsidRPr="002B15A6">
        <w:rPr>
          <w:rFonts w:ascii="Arial" w:hAnsi="Arial" w:cs="Arial"/>
          <w:b/>
          <w:bCs/>
          <w:color w:val="000000"/>
          <w:sz w:val="20"/>
          <w:szCs w:val="20"/>
          <w:u w:val="single"/>
          <w:lang w:val="fr-BE"/>
        </w:rPr>
        <w:t>tion</w:t>
      </w:r>
      <w:r w:rsidRPr="002B15A6">
        <w:rPr>
          <w:rFonts w:ascii="Arial" w:hAnsi="Arial" w:cs="Arial"/>
          <w:b/>
          <w:bCs/>
          <w:color w:val="000000"/>
          <w:sz w:val="20"/>
          <w:szCs w:val="20"/>
          <w:u w:val="single"/>
          <w:lang w:val="fr-BE"/>
        </w:rPr>
        <w:t xml:space="preserve">: </w:t>
      </w:r>
    </w:p>
    <w:p w14:paraId="60017092" w14:textId="77777777" w:rsidR="0057545F" w:rsidRPr="002B15A6" w:rsidRDefault="0057545F" w:rsidP="0057545F">
      <w:pPr>
        <w:autoSpaceDE w:val="0"/>
        <w:autoSpaceDN w:val="0"/>
        <w:adjustRightInd w:val="0"/>
        <w:spacing w:after="0" w:line="240" w:lineRule="auto"/>
        <w:ind w:left="720"/>
        <w:rPr>
          <w:rFonts w:ascii="Arial" w:hAnsi="Arial" w:cs="Arial"/>
          <w:color w:val="000000"/>
          <w:sz w:val="20"/>
          <w:szCs w:val="20"/>
          <w:lang w:val="fr-BE"/>
        </w:rPr>
      </w:pPr>
    </w:p>
    <w:p w14:paraId="21699DA8" w14:textId="42D0D2DD" w:rsidR="0057545F" w:rsidRPr="009967F7" w:rsidRDefault="000353DF" w:rsidP="0057545F">
      <w:pPr>
        <w:autoSpaceDE w:val="0"/>
        <w:autoSpaceDN w:val="0"/>
        <w:adjustRightInd w:val="0"/>
        <w:spacing w:after="0" w:line="240" w:lineRule="auto"/>
        <w:jc w:val="both"/>
        <w:rPr>
          <w:rFonts w:ascii="Arial" w:hAnsi="Arial" w:cs="Arial"/>
          <w:b/>
          <w:bCs/>
          <w:color w:val="000000"/>
          <w:sz w:val="20"/>
          <w:szCs w:val="20"/>
          <w:u w:val="single"/>
          <w:lang w:val="fr-BE"/>
        </w:rPr>
      </w:pPr>
      <w:r w:rsidRPr="009967F7">
        <w:rPr>
          <w:rFonts w:ascii="Arial" w:hAnsi="Arial" w:cs="Arial"/>
          <w:color w:val="000000"/>
          <w:sz w:val="20"/>
          <w:szCs w:val="20"/>
          <w:lang w:val="fr-BE"/>
        </w:rPr>
        <w:t xml:space="preserve">Sert entre autre de critère pour l'acceptation des prestations fournies: Le fonctionnement correct des appareils ou installations révisés, </w:t>
      </w:r>
      <w:r w:rsidRPr="009967F7">
        <w:rPr>
          <w:rFonts w:ascii="Arial" w:hAnsi="Arial" w:cs="Arial"/>
          <w:b/>
          <w:bCs/>
          <w:color w:val="000000"/>
          <w:sz w:val="20"/>
          <w:szCs w:val="20"/>
          <w:u w:val="single"/>
          <w:lang w:val="fr-BE"/>
        </w:rPr>
        <w:t>ainsi que la remise en place des plaques d'identification des équipements (codes KKS).</w:t>
      </w:r>
    </w:p>
    <w:p w14:paraId="60364412" w14:textId="77777777" w:rsidR="000353DF" w:rsidRPr="009967F7" w:rsidRDefault="000353DF" w:rsidP="0057545F">
      <w:pPr>
        <w:autoSpaceDE w:val="0"/>
        <w:autoSpaceDN w:val="0"/>
        <w:adjustRightInd w:val="0"/>
        <w:spacing w:after="0" w:line="240" w:lineRule="auto"/>
        <w:jc w:val="both"/>
        <w:rPr>
          <w:rFonts w:ascii="Arial" w:hAnsi="Arial" w:cs="Arial"/>
          <w:color w:val="000000"/>
          <w:sz w:val="20"/>
          <w:szCs w:val="20"/>
          <w:lang w:val="fr-BE"/>
        </w:rPr>
      </w:pPr>
    </w:p>
    <w:p w14:paraId="265DACD9" w14:textId="77777777" w:rsidR="00306073" w:rsidRDefault="00306073">
      <w:pPr>
        <w:spacing w:after="160" w:line="259" w:lineRule="auto"/>
        <w:rPr>
          <w:rFonts w:ascii="Arial" w:hAnsi="Arial" w:cs="Arial"/>
          <w:b/>
          <w:bCs/>
          <w:color w:val="000000"/>
          <w:sz w:val="20"/>
          <w:szCs w:val="20"/>
          <w:lang w:val="fr-BE"/>
        </w:rPr>
      </w:pPr>
      <w:r>
        <w:rPr>
          <w:rFonts w:ascii="Arial" w:hAnsi="Arial" w:cs="Arial"/>
          <w:b/>
          <w:bCs/>
          <w:color w:val="000000"/>
          <w:sz w:val="20"/>
          <w:szCs w:val="20"/>
          <w:lang w:val="fr-BE"/>
        </w:rPr>
        <w:br w:type="page"/>
      </w:r>
    </w:p>
    <w:p w14:paraId="6125ACC2" w14:textId="14D0B934" w:rsidR="000353DF" w:rsidRPr="009967F7" w:rsidRDefault="00B32118" w:rsidP="00B32118">
      <w:pPr>
        <w:autoSpaceDE w:val="0"/>
        <w:autoSpaceDN w:val="0"/>
        <w:adjustRightInd w:val="0"/>
        <w:spacing w:after="0" w:line="240" w:lineRule="auto"/>
        <w:rPr>
          <w:rFonts w:ascii="Arial" w:hAnsi="Arial" w:cs="Arial"/>
          <w:b/>
          <w:bCs/>
          <w:color w:val="000000"/>
          <w:sz w:val="20"/>
          <w:szCs w:val="20"/>
          <w:u w:val="single"/>
          <w:lang w:val="fr-BE"/>
        </w:rPr>
      </w:pPr>
      <w:r>
        <w:rPr>
          <w:rFonts w:ascii="Arial" w:hAnsi="Arial" w:cs="Arial"/>
          <w:b/>
          <w:bCs/>
          <w:color w:val="000000"/>
          <w:sz w:val="20"/>
          <w:szCs w:val="20"/>
          <w:lang w:val="fr-BE"/>
        </w:rPr>
        <w:t xml:space="preserve">2.4 </w:t>
      </w:r>
      <w:r w:rsidR="000353DF" w:rsidRPr="00B32118">
        <w:rPr>
          <w:rFonts w:ascii="Arial" w:hAnsi="Arial" w:cs="Arial"/>
          <w:b/>
          <w:bCs/>
          <w:color w:val="000000"/>
          <w:sz w:val="20"/>
          <w:szCs w:val="20"/>
          <w:u w:val="single"/>
          <w:lang w:val="fr-BE"/>
        </w:rPr>
        <w:t>Indemnités pour formalités d'accès payées par le Client</w:t>
      </w:r>
      <w:r w:rsidR="009967EB" w:rsidRPr="00B32118">
        <w:rPr>
          <w:rFonts w:ascii="Arial" w:hAnsi="Arial" w:cs="Arial"/>
          <w:b/>
          <w:bCs/>
          <w:color w:val="000000"/>
          <w:sz w:val="20"/>
          <w:szCs w:val="20"/>
          <w:u w:val="single"/>
          <w:lang w:val="fr-BE"/>
        </w:rPr>
        <w:t xml:space="preserve"> pour l’accès aux sites nucléaires :</w:t>
      </w:r>
    </w:p>
    <w:p w14:paraId="7D616CCF" w14:textId="77777777" w:rsidR="000353DF" w:rsidRPr="009967F7" w:rsidRDefault="000353DF" w:rsidP="000353DF">
      <w:pPr>
        <w:autoSpaceDE w:val="0"/>
        <w:autoSpaceDN w:val="0"/>
        <w:adjustRightInd w:val="0"/>
        <w:spacing w:after="0" w:line="240" w:lineRule="auto"/>
        <w:rPr>
          <w:rFonts w:ascii="Arial" w:hAnsi="Arial" w:cs="Arial"/>
          <w:color w:val="000000"/>
          <w:sz w:val="20"/>
          <w:szCs w:val="20"/>
          <w:lang w:val="fr-BE"/>
        </w:rPr>
      </w:pPr>
    </w:p>
    <w:p w14:paraId="1D983557" w14:textId="77777777" w:rsidR="000353DF" w:rsidRPr="002B15A6" w:rsidRDefault="000353DF" w:rsidP="000353DF">
      <w:pPr>
        <w:autoSpaceDE w:val="0"/>
        <w:autoSpaceDN w:val="0"/>
        <w:adjustRightInd w:val="0"/>
        <w:spacing w:after="0" w:line="240" w:lineRule="auto"/>
        <w:jc w:val="both"/>
        <w:rPr>
          <w:rFonts w:ascii="Arial" w:hAnsi="Arial" w:cs="Arial"/>
          <w:color w:val="000000"/>
          <w:sz w:val="20"/>
          <w:szCs w:val="20"/>
          <w:lang w:val="fr-BE"/>
        </w:rPr>
      </w:pPr>
      <w:r w:rsidRPr="002B15A6">
        <w:rPr>
          <w:rFonts w:ascii="Arial" w:hAnsi="Arial" w:cs="Arial"/>
          <w:color w:val="000000"/>
          <w:sz w:val="20"/>
          <w:szCs w:val="20"/>
          <w:lang w:val="fr-BE"/>
        </w:rPr>
        <w:t>-35,00 Euro forfait par travailleur pour l'accès au domaine/installation technique, payé une fois par an.</w:t>
      </w:r>
    </w:p>
    <w:p w14:paraId="5E7CBE18" w14:textId="7864C1A6" w:rsidR="00177F20" w:rsidRDefault="000353DF" w:rsidP="002B15A6">
      <w:pPr>
        <w:autoSpaceDE w:val="0"/>
        <w:autoSpaceDN w:val="0"/>
        <w:adjustRightInd w:val="0"/>
        <w:spacing w:after="0" w:line="240" w:lineRule="auto"/>
        <w:jc w:val="both"/>
        <w:rPr>
          <w:rFonts w:ascii="Arial" w:hAnsi="Arial" w:cs="Arial"/>
          <w:color w:val="000000"/>
          <w:sz w:val="20"/>
          <w:szCs w:val="20"/>
          <w:lang w:val="fr-BE"/>
        </w:rPr>
      </w:pPr>
      <w:r w:rsidRPr="002B15A6">
        <w:rPr>
          <w:rFonts w:ascii="Arial" w:hAnsi="Arial" w:cs="Arial"/>
          <w:color w:val="000000"/>
          <w:sz w:val="20"/>
          <w:szCs w:val="20"/>
          <w:lang w:val="fr-BE"/>
        </w:rPr>
        <w:t>-80,00 Euro forfait par travailleur pour le contrôle médical, payé deux fois par an.</w:t>
      </w:r>
    </w:p>
    <w:p w14:paraId="5206CB31" w14:textId="77777777" w:rsidR="00306073" w:rsidRDefault="00306073" w:rsidP="00306073">
      <w:pPr>
        <w:autoSpaceDE w:val="0"/>
        <w:autoSpaceDN w:val="0"/>
        <w:adjustRightInd w:val="0"/>
        <w:spacing w:after="0" w:line="240" w:lineRule="auto"/>
        <w:rPr>
          <w:rFonts w:ascii="Arial" w:hAnsi="Arial" w:cs="Arial"/>
          <w:b/>
          <w:bCs/>
          <w:color w:val="000000"/>
          <w:sz w:val="20"/>
          <w:szCs w:val="20"/>
          <w:lang w:val="fr-BE"/>
        </w:rPr>
      </w:pPr>
    </w:p>
    <w:p w14:paraId="0189D17C" w14:textId="72BCDA12" w:rsidR="00306073" w:rsidRDefault="00306073" w:rsidP="00306073">
      <w:pPr>
        <w:autoSpaceDE w:val="0"/>
        <w:autoSpaceDN w:val="0"/>
        <w:adjustRightInd w:val="0"/>
        <w:spacing w:after="0" w:line="240" w:lineRule="auto"/>
        <w:rPr>
          <w:b/>
          <w:bCs/>
          <w:color w:val="000000"/>
          <w:u w:val="single"/>
          <w:lang w:val="fr-FR"/>
        </w:rPr>
      </w:pPr>
      <w:r w:rsidRPr="00306073">
        <w:rPr>
          <w:rFonts w:ascii="Arial" w:hAnsi="Arial" w:cs="Arial"/>
          <w:b/>
          <w:bCs/>
          <w:color w:val="000000"/>
          <w:sz w:val="20"/>
          <w:szCs w:val="20"/>
          <w:lang w:val="fr-BE"/>
        </w:rPr>
        <w:t xml:space="preserve">2.5 </w:t>
      </w:r>
      <w:r>
        <w:rPr>
          <w:rFonts w:ascii="Arial" w:hAnsi="Arial" w:cs="Arial"/>
          <w:b/>
          <w:bCs/>
          <w:color w:val="000000"/>
          <w:sz w:val="20"/>
          <w:szCs w:val="20"/>
          <w:u w:val="single"/>
          <w:lang w:val="fr-BE"/>
        </w:rPr>
        <w:t>C</w:t>
      </w:r>
      <w:r w:rsidRPr="00306073">
        <w:rPr>
          <w:rFonts w:ascii="Arial" w:hAnsi="Arial" w:cs="Arial"/>
          <w:b/>
          <w:bCs/>
          <w:color w:val="000000"/>
          <w:sz w:val="20"/>
          <w:szCs w:val="20"/>
          <w:u w:val="single"/>
          <w:lang w:val="fr-BE"/>
        </w:rPr>
        <w:t>hangement de circonstances</w:t>
      </w:r>
    </w:p>
    <w:p w14:paraId="49BDE395" w14:textId="77777777" w:rsidR="00306073" w:rsidRDefault="00306073" w:rsidP="00306073">
      <w:pPr>
        <w:autoSpaceDE w:val="0"/>
        <w:autoSpaceDN w:val="0"/>
        <w:adjustRightInd w:val="0"/>
        <w:spacing w:after="0" w:line="240" w:lineRule="auto"/>
        <w:jc w:val="both"/>
        <w:rPr>
          <w:rFonts w:ascii="Arial" w:hAnsi="Arial" w:cs="Arial"/>
          <w:color w:val="000000"/>
          <w:sz w:val="20"/>
          <w:szCs w:val="20"/>
          <w:lang w:val="fr-BE"/>
        </w:rPr>
      </w:pPr>
    </w:p>
    <w:p w14:paraId="7C237932" w14:textId="3DED0AA3" w:rsidR="00306073" w:rsidRPr="00306073" w:rsidRDefault="00306073" w:rsidP="00306073">
      <w:pPr>
        <w:autoSpaceDE w:val="0"/>
        <w:autoSpaceDN w:val="0"/>
        <w:adjustRightInd w:val="0"/>
        <w:spacing w:after="0" w:line="240" w:lineRule="auto"/>
        <w:jc w:val="both"/>
        <w:rPr>
          <w:rFonts w:ascii="Arial" w:hAnsi="Arial" w:cs="Arial"/>
          <w:color w:val="000000"/>
          <w:sz w:val="20"/>
          <w:szCs w:val="20"/>
          <w:lang w:val="fr-BE"/>
        </w:rPr>
      </w:pPr>
      <w:r w:rsidRPr="00306073">
        <w:rPr>
          <w:rFonts w:ascii="Arial" w:hAnsi="Arial" w:cs="Arial"/>
          <w:color w:val="000000"/>
          <w:sz w:val="20"/>
          <w:szCs w:val="20"/>
          <w:lang w:val="fr-BE"/>
        </w:rPr>
        <w:t>Les Parties conviennent expressément d’exclure l’application de l’article 5.74 du nouveau Code civil belge (changement de circonstances) et confirment que, sur la base des effets concrets de toutes les dispositions du Contrat, chacune des dispositions du Contrat est acceptée par les Parties et ne créent en aucune manière un déséquilibre entre les droits et obligations des Parties.</w:t>
      </w:r>
    </w:p>
    <w:p w14:paraId="4C65F3B1" w14:textId="77777777" w:rsidR="00306073" w:rsidRPr="00306073" w:rsidRDefault="00306073" w:rsidP="002B15A6">
      <w:pPr>
        <w:autoSpaceDE w:val="0"/>
        <w:autoSpaceDN w:val="0"/>
        <w:adjustRightInd w:val="0"/>
        <w:spacing w:after="0" w:line="240" w:lineRule="auto"/>
        <w:jc w:val="both"/>
        <w:rPr>
          <w:rFonts w:ascii="Arial" w:hAnsi="Arial" w:cs="Arial"/>
          <w:sz w:val="20"/>
          <w:szCs w:val="20"/>
          <w:lang w:val="fr-FR"/>
        </w:rPr>
      </w:pPr>
    </w:p>
    <w:sectPr w:rsidR="00306073" w:rsidRPr="00306073" w:rsidSect="000B1370">
      <w:footerReference w:type="default" r:id="rId8"/>
      <w:pgSz w:w="12240" w:h="15840" w:code="1"/>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EDE2" w14:textId="77777777" w:rsidR="0057545F" w:rsidRDefault="0057545F" w:rsidP="0057545F">
      <w:pPr>
        <w:spacing w:after="0" w:line="240" w:lineRule="auto"/>
      </w:pPr>
      <w:r>
        <w:separator/>
      </w:r>
    </w:p>
  </w:endnote>
  <w:endnote w:type="continuationSeparator" w:id="0">
    <w:p w14:paraId="40DAC448" w14:textId="77777777" w:rsidR="0057545F" w:rsidRDefault="0057545F" w:rsidP="0057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5A8A" w14:textId="177BC470" w:rsidR="0086057B" w:rsidRDefault="009967F7" w:rsidP="00CB5384">
    <w:pPr>
      <w:pStyle w:val="DocExCode"/>
      <w:rPr>
        <w:lang w:val="en-US"/>
      </w:rPr>
    </w:pPr>
    <w:r w:rsidRPr="00CB5384">
      <w:rPr>
        <w:lang w:val="en-US"/>
      </w:rPr>
      <w:t xml:space="preserve">Conditions </w:t>
    </w:r>
    <w:proofErr w:type="spellStart"/>
    <w:r w:rsidR="00BC694C">
      <w:rPr>
        <w:lang w:val="en-US"/>
      </w:rPr>
      <w:t>Suppl</w:t>
    </w:r>
    <w:r w:rsidR="002D46E9">
      <w:rPr>
        <w:lang w:val="en-US"/>
      </w:rPr>
      <w:t>é</w:t>
    </w:r>
    <w:r w:rsidR="00BC694C">
      <w:rPr>
        <w:lang w:val="en-US"/>
      </w:rPr>
      <w:t>mentaires</w:t>
    </w:r>
    <w:proofErr w:type="spellEnd"/>
    <w:r w:rsidR="00BC694C">
      <w:rPr>
        <w:lang w:val="en-US"/>
      </w:rPr>
      <w:t xml:space="preserve"> </w:t>
    </w:r>
    <w:r w:rsidRPr="00CB5384">
      <w:rPr>
        <w:lang w:val="en-US"/>
      </w:rPr>
      <w:t xml:space="preserve">version </w:t>
    </w:r>
    <w:proofErr w:type="spellStart"/>
    <w:r w:rsidRPr="00CB5384">
      <w:rPr>
        <w:lang w:val="en-US"/>
      </w:rPr>
      <w:t>d</w:t>
    </w:r>
    <w:r w:rsidR="00BC694C">
      <w:rPr>
        <w:lang w:val="en-US"/>
      </w:rPr>
      <w:t>atée</w:t>
    </w:r>
    <w:proofErr w:type="spellEnd"/>
    <w:r w:rsidR="00BC694C">
      <w:rPr>
        <w:lang w:val="en-US"/>
      </w:rPr>
      <w:t xml:space="preserve"> </w:t>
    </w:r>
    <w:r w:rsidR="00B32118">
      <w:rPr>
        <w:lang w:val="en-US"/>
      </w:rPr>
      <w:t>21</w:t>
    </w:r>
    <w:r w:rsidR="0057545F">
      <w:rPr>
        <w:lang w:val="en-US"/>
      </w:rPr>
      <w:t>/</w:t>
    </w:r>
    <w:r w:rsidR="00B32118">
      <w:rPr>
        <w:lang w:val="en-US"/>
      </w:rPr>
      <w:t>12</w:t>
    </w:r>
    <w:r w:rsidR="0057545F">
      <w:rPr>
        <w:lang w:val="en-US"/>
      </w:rPr>
      <w:t>/202</w:t>
    </w:r>
    <w:r w:rsidR="00B32118">
      <w:rPr>
        <w:lang w:val="en-US"/>
      </w:rPr>
      <w:t>2</w:t>
    </w:r>
  </w:p>
  <w:p w14:paraId="7D7047AE" w14:textId="77777777" w:rsidR="0086057B" w:rsidRDefault="00306073" w:rsidP="00CB5384">
    <w:pPr>
      <w:pStyle w:val="DocExCode"/>
      <w:rPr>
        <w:lang w:val="en-US"/>
      </w:rPr>
    </w:pPr>
  </w:p>
  <w:p w14:paraId="577ADF9C" w14:textId="77777777" w:rsidR="0086057B" w:rsidRPr="000B1370" w:rsidRDefault="009967F7" w:rsidP="000B1370">
    <w:pPr>
      <w:pStyle w:val="DocExCode"/>
      <w:jc w:val="center"/>
      <w:rPr>
        <w:lang w:val="en-US"/>
      </w:rPr>
    </w:pPr>
    <w:r w:rsidRPr="000B1370">
      <w:rPr>
        <w:lang w:val="en-US"/>
      </w:rPr>
      <w:fldChar w:fldCharType="begin"/>
    </w:r>
    <w:r w:rsidRPr="000B1370">
      <w:rPr>
        <w:lang w:val="en-US"/>
      </w:rPr>
      <w:instrText xml:space="preserve"> PAGE   \* MERGEFORMAT </w:instrText>
    </w:r>
    <w:r w:rsidRPr="000B1370">
      <w:rPr>
        <w:lang w:val="en-US"/>
      </w:rPr>
      <w:fldChar w:fldCharType="separate"/>
    </w:r>
    <w:r w:rsidRPr="000B1370">
      <w:rPr>
        <w:bCs/>
        <w:noProof/>
        <w:lang w:val="en-US"/>
      </w:rPr>
      <w:t>1</w:t>
    </w:r>
    <w:r w:rsidRPr="000B1370">
      <w:rPr>
        <w:bCs/>
        <w:noProof/>
        <w:lang w:val="en-US"/>
      </w:rPr>
      <w:fldChar w:fldCharType="end"/>
    </w:r>
  </w:p>
  <w:p w14:paraId="1FE15830" w14:textId="77777777" w:rsidR="0086057B" w:rsidRDefault="0030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ED97" w14:textId="77777777" w:rsidR="0057545F" w:rsidRDefault="0057545F" w:rsidP="0057545F">
      <w:pPr>
        <w:spacing w:after="0" w:line="240" w:lineRule="auto"/>
      </w:pPr>
      <w:r>
        <w:separator/>
      </w:r>
    </w:p>
  </w:footnote>
  <w:footnote w:type="continuationSeparator" w:id="0">
    <w:p w14:paraId="05216A35" w14:textId="77777777" w:rsidR="0057545F" w:rsidRDefault="0057545F" w:rsidP="00575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8A"/>
    <w:multiLevelType w:val="multilevel"/>
    <w:tmpl w:val="F24E2F30"/>
    <w:lvl w:ilvl="0">
      <w:start w:val="1"/>
      <w:numFmt w:val="decimal"/>
      <w:lvlText w:val="%1."/>
      <w:lvlJc w:val="left"/>
      <w:pPr>
        <w:ind w:left="360" w:hanging="360"/>
      </w:pPr>
      <w:rPr>
        <w:rFonts w:ascii="Courier New" w:hAnsi="Courier New" w:cs="Courier New" w:hint="default"/>
        <w:color w:val="000000"/>
      </w:rPr>
    </w:lvl>
    <w:lvl w:ilvl="1">
      <w:start w:val="4"/>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 w15:restartNumberingAfterBreak="0">
    <w:nsid w:val="656116C4"/>
    <w:multiLevelType w:val="hybridMultilevel"/>
    <w:tmpl w:val="164A84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32732765">
    <w:abstractNumId w:val="0"/>
  </w:num>
  <w:num w:numId="2" w16cid:durableId="152189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5F"/>
    <w:rsid w:val="000353DF"/>
    <w:rsid w:val="000C45EC"/>
    <w:rsid w:val="00177F20"/>
    <w:rsid w:val="00282B62"/>
    <w:rsid w:val="002B15A6"/>
    <w:rsid w:val="002D46E9"/>
    <w:rsid w:val="00306073"/>
    <w:rsid w:val="0057545F"/>
    <w:rsid w:val="009967EB"/>
    <w:rsid w:val="009967F7"/>
    <w:rsid w:val="00B32118"/>
    <w:rsid w:val="00BC694C"/>
    <w:rsid w:val="00F11083"/>
    <w:rsid w:val="00FC6F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49B5"/>
  <w15:chartTrackingRefBased/>
  <w15:docId w15:val="{1F4E2658-D99B-434E-8F93-6F00E388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5F"/>
    <w:pPr>
      <w:spacing w:after="200" w:line="276" w:lineRule="auto"/>
    </w:pPr>
    <w:rPr>
      <w:lang w:val="en-US"/>
    </w:rPr>
  </w:style>
  <w:style w:type="paragraph" w:styleId="Heading2">
    <w:name w:val="heading 2"/>
    <w:basedOn w:val="Normal"/>
    <w:next w:val="Normal"/>
    <w:link w:val="Heading2Char"/>
    <w:uiPriority w:val="99"/>
    <w:unhideWhenUsed/>
    <w:qFormat/>
    <w:rsid w:val="0057545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7545F"/>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57545F"/>
    <w:pPr>
      <w:ind w:left="720"/>
      <w:contextualSpacing/>
    </w:pPr>
  </w:style>
  <w:style w:type="paragraph" w:styleId="Footer">
    <w:name w:val="footer"/>
    <w:basedOn w:val="Normal"/>
    <w:link w:val="FooterChar"/>
    <w:uiPriority w:val="99"/>
    <w:unhideWhenUsed/>
    <w:rsid w:val="0057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5F"/>
    <w:rPr>
      <w:lang w:val="en-US"/>
    </w:rPr>
  </w:style>
  <w:style w:type="paragraph" w:customStyle="1" w:styleId="Level3">
    <w:name w:val="Level 3"/>
    <w:basedOn w:val="Normal"/>
    <w:uiPriority w:val="99"/>
    <w:rsid w:val="0057545F"/>
    <w:pPr>
      <w:spacing w:after="140" w:line="240" w:lineRule="auto"/>
      <w:ind w:left="360" w:hanging="360"/>
      <w:jc w:val="both"/>
    </w:pPr>
    <w:rPr>
      <w:rFonts w:ascii="Arial" w:eastAsia="Times New Roman" w:hAnsi="Arial" w:cs="Arial"/>
      <w:b/>
      <w:kern w:val="20"/>
      <w:szCs w:val="28"/>
      <w:lang w:val="en-GB"/>
    </w:rPr>
  </w:style>
  <w:style w:type="paragraph" w:customStyle="1" w:styleId="DocExCode">
    <w:name w:val="DocExCode"/>
    <w:basedOn w:val="Normal"/>
    <w:uiPriority w:val="99"/>
    <w:rsid w:val="0057545F"/>
    <w:pPr>
      <w:pBdr>
        <w:top w:val="single" w:sz="4" w:space="1" w:color="auto"/>
      </w:pBdr>
      <w:spacing w:after="0" w:line="240" w:lineRule="auto"/>
    </w:pPr>
    <w:rPr>
      <w:rFonts w:ascii="Arial" w:eastAsia="Times New Roman" w:hAnsi="Arial" w:cs="Times New Roman"/>
      <w:b/>
      <w:kern w:val="20"/>
      <w:sz w:val="16"/>
      <w:szCs w:val="24"/>
      <w:lang w:val="en-GB"/>
    </w:rPr>
  </w:style>
  <w:style w:type="paragraph" w:styleId="Header">
    <w:name w:val="header"/>
    <w:basedOn w:val="Normal"/>
    <w:link w:val="HeaderChar"/>
    <w:uiPriority w:val="99"/>
    <w:unhideWhenUsed/>
    <w:rsid w:val="0057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A28F-45E7-4E58-AB74-F879A335F4EC}">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NYS Fabrice (ENGIE Nuclear)</dc:creator>
  <cp:keywords/>
  <dc:description/>
  <cp:lastModifiedBy>DE NYS Fabrice (ENGIE Nuclear)</cp:lastModifiedBy>
  <cp:revision>3</cp:revision>
  <dcterms:created xsi:type="dcterms:W3CDTF">2022-12-21T10:13:00Z</dcterms:created>
  <dcterms:modified xsi:type="dcterms:W3CDTF">2022-12-21T10:15:00Z</dcterms:modified>
</cp:coreProperties>
</file>