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104" w:rsidRPr="008A7104" w:rsidRDefault="008A7104" w:rsidP="008A7104">
      <w:pPr>
        <w:pStyle w:val="Default"/>
        <w:jc w:val="center"/>
        <w:rPr>
          <w:b/>
          <w:sz w:val="22"/>
          <w:szCs w:val="22"/>
        </w:rPr>
      </w:pPr>
      <w:r>
        <w:rPr>
          <w:b/>
          <w:sz w:val="22"/>
        </w:rPr>
        <w:t>Na te leven vereisten in het kader van de aankoop van materiaal of prestaties met betrekking tot brand</w:t>
      </w:r>
      <w:bookmarkStart w:id="0" w:name="_GoBack"/>
      <w:bookmarkEnd w:id="0"/>
    </w:p>
    <w:p w:rsidR="008A7104" w:rsidRDefault="008A7104" w:rsidP="008A7104">
      <w:pPr>
        <w:pStyle w:val="Default"/>
        <w:rPr>
          <w:sz w:val="22"/>
          <w:szCs w:val="22"/>
        </w:rPr>
      </w:pPr>
    </w:p>
    <w:p w:rsidR="008A7104" w:rsidRDefault="008A7104" w:rsidP="008A7104">
      <w:pPr>
        <w:pStyle w:val="Default"/>
        <w:rPr>
          <w:sz w:val="22"/>
          <w:szCs w:val="22"/>
        </w:rPr>
      </w:pPr>
      <w:r>
        <w:rPr>
          <w:sz w:val="22"/>
        </w:rPr>
        <w:t xml:space="preserve">De minimale vereisten voor de dienstprestaties en de systemen en componenten van de detectie-/beschermingsmiddelen tegen brand, zijn: </w:t>
      </w:r>
    </w:p>
    <w:p w:rsidR="008A7104" w:rsidRPr="008A7104" w:rsidRDefault="008A7104" w:rsidP="008A7104">
      <w:pPr>
        <w:pStyle w:val="Default"/>
        <w:rPr>
          <w:sz w:val="22"/>
          <w:szCs w:val="22"/>
        </w:rPr>
      </w:pPr>
    </w:p>
    <w:p w:rsidR="008A7104" w:rsidRPr="008A7104" w:rsidRDefault="008A7104" w:rsidP="008A7104">
      <w:pPr>
        <w:pStyle w:val="Default"/>
        <w:numPr>
          <w:ilvl w:val="0"/>
          <w:numId w:val="1"/>
        </w:numPr>
        <w:spacing w:after="26"/>
        <w:rPr>
          <w:sz w:val="22"/>
          <w:szCs w:val="22"/>
        </w:rPr>
      </w:pPr>
      <w:r>
        <w:rPr>
          <w:b/>
          <w:sz w:val="22"/>
          <w:u w:val="single"/>
        </w:rPr>
        <w:t>Dienstprestaties</w:t>
      </w:r>
      <w:r>
        <w:rPr>
          <w:sz w:val="22"/>
        </w:rPr>
        <w:t xml:space="preserve">: de activiteiten die verband houden met de installatie en het onderhoud van brandvoorzieningen vereisen het volgende: </w:t>
      </w:r>
    </w:p>
    <w:p w:rsidR="008A7104" w:rsidRPr="008A7104" w:rsidRDefault="008A7104" w:rsidP="008A7104">
      <w:pPr>
        <w:pStyle w:val="Default"/>
        <w:numPr>
          <w:ilvl w:val="0"/>
          <w:numId w:val="3"/>
        </w:numPr>
        <w:spacing w:after="26"/>
        <w:rPr>
          <w:sz w:val="22"/>
          <w:szCs w:val="22"/>
        </w:rPr>
      </w:pPr>
      <w:r>
        <w:rPr>
          <w:sz w:val="22"/>
        </w:rPr>
        <w:t xml:space="preserve">BOSEC-certificatie voor de onderneming en het personeel als het gaat om detectie, hydraulische automatische brandbescherming (Sprinklers/Deluge) of automatische brandbescherming met gas, brandwerende doorvoeringen (BWD), </w:t>
      </w:r>
    </w:p>
    <w:p w:rsidR="008A7104" w:rsidRPr="008A7104" w:rsidRDefault="008A7104" w:rsidP="008A7104">
      <w:pPr>
        <w:pStyle w:val="Default"/>
        <w:numPr>
          <w:ilvl w:val="0"/>
          <w:numId w:val="3"/>
        </w:numPr>
        <w:spacing w:after="26"/>
        <w:rPr>
          <w:sz w:val="22"/>
          <w:szCs w:val="22"/>
        </w:rPr>
      </w:pPr>
      <w:r>
        <w:rPr>
          <w:sz w:val="22"/>
        </w:rPr>
        <w:t xml:space="preserve">APRAGAZ-certificatie voor de brandblussers, </w:t>
      </w:r>
    </w:p>
    <w:p w:rsidR="008A7104" w:rsidRPr="008A7104" w:rsidRDefault="008A7104" w:rsidP="008A7104">
      <w:pPr>
        <w:pStyle w:val="Default"/>
        <w:numPr>
          <w:ilvl w:val="0"/>
          <w:numId w:val="3"/>
        </w:numPr>
        <w:spacing w:after="26"/>
        <w:rPr>
          <w:sz w:val="22"/>
          <w:szCs w:val="22"/>
        </w:rPr>
      </w:pPr>
      <w:r>
        <w:rPr>
          <w:sz w:val="22"/>
        </w:rPr>
        <w:t xml:space="preserve">ISIB-certificatie voor de brandwerende deuren, </w:t>
      </w:r>
    </w:p>
    <w:p w:rsidR="008A7104" w:rsidRPr="008A7104" w:rsidRDefault="008A7104" w:rsidP="008A7104">
      <w:pPr>
        <w:pStyle w:val="Default"/>
        <w:numPr>
          <w:ilvl w:val="0"/>
          <w:numId w:val="3"/>
        </w:numPr>
        <w:rPr>
          <w:sz w:val="22"/>
          <w:szCs w:val="22"/>
        </w:rPr>
      </w:pPr>
      <w:r>
        <w:rPr>
          <w:sz w:val="22"/>
        </w:rPr>
        <w:t xml:space="preserve">10CFR50 appendix B-certificatie (1) voor de andere voorzieningen, waaronder de niet-automatische hydraulische beschermingen en circuits. </w:t>
      </w:r>
    </w:p>
    <w:p w:rsidR="008A7104" w:rsidRPr="008A7104" w:rsidRDefault="008A7104" w:rsidP="008A7104">
      <w:pPr>
        <w:pStyle w:val="Default"/>
        <w:rPr>
          <w:sz w:val="22"/>
          <w:szCs w:val="22"/>
        </w:rPr>
      </w:pPr>
      <w:r>
        <w:rPr>
          <w:sz w:val="22"/>
        </w:rPr>
        <w:t xml:space="preserve">De erkenning door een geaccrediteerd Belgisch certificatieorganisme (bv. ANPI – afdeling Certificatie) van de gelijkwaardigheid van een certificaat uitgereikt door een ander certificatieorganisme (LPCB in Engeland, VDS, MPA in Duitsland, EFECTIS, CNPP in Frankrijk, ...), is ook aanvaardbaar. </w:t>
      </w:r>
    </w:p>
    <w:p w:rsidR="008A7104" w:rsidRPr="008A7104" w:rsidRDefault="008A7104" w:rsidP="008A7104">
      <w:pPr>
        <w:pStyle w:val="Default"/>
        <w:rPr>
          <w:sz w:val="22"/>
          <w:szCs w:val="22"/>
        </w:rPr>
      </w:pPr>
      <w:r>
        <w:rPr>
          <w:sz w:val="22"/>
        </w:rPr>
        <w:t xml:space="preserve">(1) 18 criteria inzake kwaliteitsgarantie voor kerncentrales (opgesteld door de United States Nuclear Regulatory Commission - USNRC). </w:t>
      </w:r>
    </w:p>
    <w:p w:rsidR="008A7104" w:rsidRPr="008A7104" w:rsidRDefault="008A7104" w:rsidP="008A7104">
      <w:pPr>
        <w:pStyle w:val="Default"/>
        <w:rPr>
          <w:sz w:val="22"/>
          <w:szCs w:val="22"/>
        </w:rPr>
      </w:pPr>
      <w:r>
        <w:rPr>
          <w:sz w:val="22"/>
        </w:rPr>
        <w:t xml:space="preserve">Wat bestrijkt de certificatie? De certificatie bestrijkt voornamelijk, met traceerbaarheid op basis van documenten, de opleiding en de ervaring van het personeel dat de toevertrouwde opdracht uitvoert, in overeenstemming met de normen, de vereisten van de constructeur en het lastenboek. </w:t>
      </w:r>
    </w:p>
    <w:p w:rsidR="008A7104" w:rsidRDefault="008A7104" w:rsidP="008A7104">
      <w:pPr>
        <w:pStyle w:val="Default"/>
        <w:rPr>
          <w:sz w:val="22"/>
          <w:szCs w:val="22"/>
        </w:rPr>
      </w:pPr>
      <w:r>
        <w:rPr>
          <w:sz w:val="22"/>
        </w:rPr>
        <w:t xml:space="preserve">Bij ontstentenis van deze certificatie zal de opdrachtgevende dienst van EBL, op basis van de overhandiging door de onderneming van een bewijs van haar kwaliteitscontroledienst (die onafhankelijk moet zijn van haar uitvoerende dienst) en alle andere bewijskrachtige informatie, zijn eventueel akkoord analyseren, formaliseren en archiveren en daarbij de vereisten naleven met betrekking tot de zekerheid, de veiligheid en de bescherming van de goederen. </w:t>
      </w:r>
    </w:p>
    <w:p w:rsidR="008A7104" w:rsidRPr="008A7104" w:rsidRDefault="008A7104" w:rsidP="008A7104">
      <w:pPr>
        <w:pStyle w:val="Default"/>
        <w:rPr>
          <w:sz w:val="22"/>
          <w:szCs w:val="22"/>
        </w:rPr>
      </w:pPr>
    </w:p>
    <w:p w:rsidR="008A7104" w:rsidRPr="008A7104" w:rsidRDefault="008A7104" w:rsidP="008A7104">
      <w:pPr>
        <w:pStyle w:val="Default"/>
        <w:numPr>
          <w:ilvl w:val="0"/>
          <w:numId w:val="1"/>
        </w:numPr>
        <w:rPr>
          <w:sz w:val="22"/>
          <w:szCs w:val="22"/>
        </w:rPr>
      </w:pPr>
      <w:r>
        <w:rPr>
          <w:b/>
          <w:sz w:val="22"/>
          <w:u w:val="single"/>
        </w:rPr>
        <w:t>Uitrusting</w:t>
      </w:r>
      <w:r>
        <w:rPr>
          <w:sz w:val="22"/>
        </w:rPr>
        <w:t xml:space="preserve">: de betrokken systemen en componenten voor branddetectie/-bescherming (2) moeten gecertificeerd worden </w:t>
      </w:r>
    </w:p>
    <w:p w:rsidR="008A7104" w:rsidRPr="008A7104" w:rsidRDefault="008A7104" w:rsidP="008A7104">
      <w:pPr>
        <w:pStyle w:val="Default"/>
        <w:numPr>
          <w:ilvl w:val="0"/>
          <w:numId w:val="2"/>
        </w:numPr>
        <w:rPr>
          <w:sz w:val="22"/>
          <w:szCs w:val="22"/>
        </w:rPr>
      </w:pPr>
      <w:r>
        <w:rPr>
          <w:sz w:val="22"/>
        </w:rPr>
        <w:t xml:space="preserve">branddetectie: BOSEC-certificaat norm EN54-13 voor de compatibiliteit en norm EN54-*** voor de componenten </w:t>
      </w:r>
    </w:p>
    <w:p w:rsidR="008A7104" w:rsidRPr="008A7104" w:rsidRDefault="008A7104" w:rsidP="008A7104">
      <w:pPr>
        <w:pStyle w:val="Default"/>
        <w:numPr>
          <w:ilvl w:val="0"/>
          <w:numId w:val="2"/>
        </w:numPr>
        <w:rPr>
          <w:sz w:val="22"/>
          <w:szCs w:val="22"/>
        </w:rPr>
      </w:pPr>
      <w:r>
        <w:rPr>
          <w:sz w:val="22"/>
        </w:rPr>
        <w:t xml:space="preserve">brandbescherming gas: BOSEC-gecertificeerd norm NBN EN12094-01 en NTN ANPI EN12094-01 voor de bluscentrale en VDS volgens de normenreeks NBN EN12094-*** voor de componenten </w:t>
      </w:r>
    </w:p>
    <w:p w:rsidR="008A7104" w:rsidRPr="008A7104" w:rsidRDefault="008A7104" w:rsidP="008A7104">
      <w:pPr>
        <w:pStyle w:val="Default"/>
        <w:numPr>
          <w:ilvl w:val="0"/>
          <w:numId w:val="2"/>
        </w:numPr>
        <w:rPr>
          <w:sz w:val="22"/>
          <w:szCs w:val="22"/>
        </w:rPr>
      </w:pPr>
      <w:r>
        <w:rPr>
          <w:sz w:val="22"/>
        </w:rPr>
        <w:t xml:space="preserve">hydraulische brandbescherming (behalve brandkranen, hydranten, brandslangen): UL/FM (3) </w:t>
      </w:r>
    </w:p>
    <w:p w:rsidR="008A7104" w:rsidRPr="008A7104" w:rsidRDefault="008A7104" w:rsidP="008A7104">
      <w:pPr>
        <w:pStyle w:val="Default"/>
        <w:numPr>
          <w:ilvl w:val="0"/>
          <w:numId w:val="2"/>
        </w:numPr>
        <w:rPr>
          <w:sz w:val="22"/>
          <w:szCs w:val="22"/>
        </w:rPr>
      </w:pPr>
      <w:r>
        <w:rPr>
          <w:sz w:val="22"/>
        </w:rPr>
        <w:t xml:space="preserve">brandblussers: BENOR- en ANPI-gecertificeerd (4) </w:t>
      </w:r>
    </w:p>
    <w:p w:rsidR="008A7104" w:rsidRPr="008A7104" w:rsidRDefault="008A7104" w:rsidP="008A7104">
      <w:pPr>
        <w:pStyle w:val="Default"/>
        <w:numPr>
          <w:ilvl w:val="0"/>
          <w:numId w:val="2"/>
        </w:numPr>
        <w:rPr>
          <w:sz w:val="22"/>
          <w:szCs w:val="22"/>
        </w:rPr>
      </w:pPr>
      <w:r>
        <w:rPr>
          <w:sz w:val="22"/>
        </w:rPr>
        <w:t xml:space="preserve">deuren: BENOR-ATG </w:t>
      </w:r>
    </w:p>
    <w:p w:rsidR="008A7104" w:rsidRPr="008A7104" w:rsidRDefault="008A7104" w:rsidP="008A7104">
      <w:pPr>
        <w:pStyle w:val="Default"/>
        <w:numPr>
          <w:ilvl w:val="0"/>
          <w:numId w:val="2"/>
        </w:numPr>
        <w:rPr>
          <w:sz w:val="22"/>
          <w:szCs w:val="22"/>
        </w:rPr>
      </w:pPr>
      <w:r>
        <w:rPr>
          <w:sz w:val="22"/>
        </w:rPr>
        <w:t xml:space="preserve">brandslangen: ANPI-gecertificeerd </w:t>
      </w:r>
    </w:p>
    <w:p w:rsidR="008A7104" w:rsidRPr="008A7104" w:rsidRDefault="008A7104" w:rsidP="008A7104">
      <w:pPr>
        <w:pStyle w:val="Default"/>
        <w:numPr>
          <w:ilvl w:val="0"/>
          <w:numId w:val="2"/>
        </w:numPr>
        <w:rPr>
          <w:sz w:val="22"/>
          <w:szCs w:val="22"/>
        </w:rPr>
      </w:pPr>
      <w:r>
        <w:rPr>
          <w:sz w:val="22"/>
        </w:rPr>
        <w:t xml:space="preserve">brandkranen, hydranten, RWA (rook- en warmteafvoer), brandwerende kleppen: in overeenstemming met de normen. (maar worden niet gedekt door een certificaat) </w:t>
      </w:r>
    </w:p>
    <w:p w:rsidR="008A7104" w:rsidRPr="008A7104" w:rsidRDefault="008A7104" w:rsidP="008A7104">
      <w:pPr>
        <w:pStyle w:val="Default"/>
        <w:rPr>
          <w:sz w:val="22"/>
          <w:szCs w:val="22"/>
        </w:rPr>
      </w:pPr>
    </w:p>
    <w:p w:rsidR="008A7104" w:rsidRDefault="008A7104" w:rsidP="008A7104">
      <w:pPr>
        <w:pStyle w:val="Default"/>
        <w:rPr>
          <w:sz w:val="22"/>
          <w:szCs w:val="22"/>
        </w:rPr>
      </w:pPr>
      <w:r>
        <w:rPr>
          <w:sz w:val="22"/>
        </w:rPr>
        <w:t xml:space="preserve">*** het gedeelte van de betrokken norm raadplegen </w:t>
      </w:r>
    </w:p>
    <w:p w:rsidR="008A7104" w:rsidRPr="008A7104" w:rsidRDefault="008A7104" w:rsidP="008A7104">
      <w:pPr>
        <w:pStyle w:val="Default"/>
        <w:rPr>
          <w:sz w:val="22"/>
          <w:szCs w:val="22"/>
        </w:rPr>
      </w:pPr>
    </w:p>
    <w:p w:rsidR="008A7104" w:rsidRDefault="008A7104" w:rsidP="00820D4C">
      <w:pPr>
        <w:pStyle w:val="Default"/>
        <w:rPr>
          <w:sz w:val="18"/>
          <w:szCs w:val="18"/>
        </w:rPr>
      </w:pPr>
      <w:r>
        <w:rPr>
          <w:sz w:val="22"/>
        </w:rPr>
        <w:t>De erkenning door een geaccrediteerd Belgisch certificatieorganisme (bv. ANPI – afdeling Certificatie) van de gelijkwaardigheid van een certificaat uitgereikt door een ander certificatieorganisme (LPCB in Engeland, VDS, MPA in Duitsland, EFECTIS, CNPP in Frankrijk, ...), is ook aanvaardbaar.</w:t>
      </w:r>
      <w:r>
        <w:rPr>
          <w:sz w:val="18"/>
        </w:rPr>
        <w:t xml:space="preserve"> </w:t>
      </w:r>
    </w:p>
    <w:p w:rsidR="008A7104" w:rsidRPr="008A7104" w:rsidRDefault="008A7104" w:rsidP="008A7104">
      <w:pPr>
        <w:pStyle w:val="Default"/>
        <w:pageBreakBefore/>
        <w:rPr>
          <w:color w:val="auto"/>
          <w:sz w:val="22"/>
          <w:szCs w:val="22"/>
        </w:rPr>
      </w:pPr>
      <w:r>
        <w:rPr>
          <w:sz w:val="18"/>
        </w:rPr>
        <w:lastRenderedPageBreak/>
        <w:t xml:space="preserve"> </w:t>
      </w:r>
      <w:r>
        <w:rPr>
          <w:sz w:val="22"/>
        </w:rPr>
        <w:t xml:space="preserve">Als laatste redmiddel, als de situatie dit rechtvaardigt, zal de opdrachtgevende dienst van EBL zijn eventueel akkoord voor het gebruik van een niet-gecertificeerd onderdeel, bijvoorbeeld voor de vervanging van een niet-gecertificeerd onderdeel van een oude installatie (die ook niet gecertificeerd is), analyseren, </w:t>
      </w:r>
      <w:r>
        <w:rPr>
          <w:color w:val="auto"/>
          <w:sz w:val="22"/>
        </w:rPr>
        <w:t xml:space="preserve">argumenteren, formaliseren en archiveren, vooropgesteld dat de plaatsing van een gecertificeerd nieuw onderdeel een wijziging van de installatie zou hebben vereist en de oplossing geen afbreuk doet aan de zekerheid, de veiligheid en de bescherming van de goederen. </w:t>
      </w:r>
    </w:p>
    <w:p w:rsidR="008A7104" w:rsidRPr="008A7104" w:rsidRDefault="008A7104" w:rsidP="008A7104">
      <w:pPr>
        <w:pStyle w:val="Default"/>
        <w:rPr>
          <w:color w:val="auto"/>
          <w:sz w:val="22"/>
          <w:szCs w:val="22"/>
        </w:rPr>
      </w:pPr>
      <w:r>
        <w:rPr>
          <w:color w:val="auto"/>
          <w:sz w:val="22"/>
        </w:rPr>
        <w:t xml:space="preserve">(2) behalve indien de norm dit vereist, moeten de componenten die geen impact hebben op de werking van de uitrusting niet gecertificeerd worden. </w:t>
      </w:r>
    </w:p>
    <w:p w:rsidR="008A7104" w:rsidRPr="008A7104" w:rsidRDefault="008A7104" w:rsidP="008A7104">
      <w:pPr>
        <w:pStyle w:val="Default"/>
        <w:rPr>
          <w:color w:val="auto"/>
          <w:sz w:val="22"/>
          <w:szCs w:val="22"/>
        </w:rPr>
      </w:pPr>
      <w:r>
        <w:rPr>
          <w:color w:val="auto"/>
          <w:sz w:val="22"/>
        </w:rPr>
        <w:t xml:space="preserve">(3) UL/FM: Underwriters Laboratories en Factory Mutual: organismen van Amerikaanse herkomst die wereldwijd gevestigd zijn en die erkend worden voor hun certificatie van branduitrusting. </w:t>
      </w:r>
    </w:p>
    <w:p w:rsidR="008A7104" w:rsidRPr="008A7104" w:rsidRDefault="008A7104" w:rsidP="008A7104">
      <w:r>
        <w:t>(4) BENOR is noodzakelijk maar volstaat niet, want het is ANPI die de prestaties garandeert op basis van standaardtests volgens ANPI Technische Nota 105 (die de mogelijkheid biedt om de bluseenheden te bepalen en de prestaties te vergelijken).</w:t>
      </w:r>
    </w:p>
    <w:p w:rsidR="008A7104" w:rsidRPr="008A7104" w:rsidRDefault="008A7104" w:rsidP="008A7104">
      <w:pPr>
        <w:pStyle w:val="Default"/>
        <w:rPr>
          <w:sz w:val="22"/>
          <w:szCs w:val="22"/>
        </w:rPr>
      </w:pPr>
    </w:p>
    <w:p w:rsidR="008A7104" w:rsidRDefault="008A7104" w:rsidP="008A7104">
      <w:pPr>
        <w:pStyle w:val="Default"/>
        <w:rPr>
          <w:sz w:val="22"/>
          <w:szCs w:val="22"/>
        </w:rPr>
      </w:pPr>
    </w:p>
    <w:sectPr w:rsidR="008A7104" w:rsidSect="001B770A">
      <w:pgSz w:w="12240" w:h="15840"/>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10A"/>
    <w:multiLevelType w:val="hybridMultilevel"/>
    <w:tmpl w:val="DBE68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B1D46"/>
    <w:multiLevelType w:val="hybridMultilevel"/>
    <w:tmpl w:val="57CE0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76A6B"/>
    <w:multiLevelType w:val="hybridMultilevel"/>
    <w:tmpl w:val="FB38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E078E"/>
    <w:multiLevelType w:val="hybridMultilevel"/>
    <w:tmpl w:val="D190056C"/>
    <w:lvl w:ilvl="0" w:tplc="90AA2B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04"/>
    <w:rsid w:val="001B770A"/>
    <w:rsid w:val="004D6AB8"/>
    <w:rsid w:val="007B273E"/>
    <w:rsid w:val="00820D4C"/>
    <w:rsid w:val="008A7104"/>
    <w:rsid w:val="00C50097"/>
    <w:rsid w:val="00DD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AF0B0-24D0-41E2-9018-F4D1FC1D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nl-BE" w:bidi="nl-B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1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3604</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GDF SUEZ</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Wesel David</cp:lastModifiedBy>
  <cp:revision>3</cp:revision>
  <dcterms:created xsi:type="dcterms:W3CDTF">2016-04-08T13:44:00Z</dcterms:created>
  <dcterms:modified xsi:type="dcterms:W3CDTF">2016-04-08T13:49:00Z</dcterms:modified>
</cp:coreProperties>
</file>